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5B2F" w14:textId="77777777" w:rsidR="00973EC0" w:rsidRPr="006446A2" w:rsidRDefault="00973EC0" w:rsidP="0057661C">
      <w:pPr>
        <w:pStyle w:val="ListParagraph"/>
        <w:bidi w:val="0"/>
        <w:spacing w:after="0" w:line="240" w:lineRule="auto"/>
        <w:ind w:left="0"/>
        <w:contextualSpacing w:val="0"/>
        <w:jc w:val="center"/>
        <w:rPr>
          <w:rFonts w:asciiTheme="majorBidi" w:hAnsiTheme="majorBidi" w:cstheme="majorBidi"/>
          <w:b/>
          <w:bCs/>
          <w:sz w:val="26"/>
          <w:szCs w:val="26"/>
          <w:lang w:bidi="ar-EG"/>
        </w:rPr>
      </w:pPr>
      <w:r w:rsidRPr="006446A2">
        <w:rPr>
          <w:rFonts w:asciiTheme="majorBidi" w:hAnsiTheme="majorBidi" w:cstheme="majorBidi"/>
          <w:b/>
          <w:bCs/>
          <w:sz w:val="26"/>
          <w:szCs w:val="26"/>
          <w:lang w:bidi="ar-EG"/>
        </w:rPr>
        <w:t>Short term Prognostic value of tricuspid annular plane systolic excursion / pulmonary arterial systolic pressure ratio in patients with COVID-19 ARDS</w:t>
      </w:r>
    </w:p>
    <w:p w14:paraId="3FD9E6E1" w14:textId="7AC379EB" w:rsidR="004A1485" w:rsidRPr="0057661C" w:rsidRDefault="00B274E0" w:rsidP="0057661C">
      <w:pPr>
        <w:bidi w:val="0"/>
        <w:spacing w:after="0" w:line="240" w:lineRule="auto"/>
        <w:jc w:val="center"/>
        <w:rPr>
          <w:rFonts w:asciiTheme="majorBidi" w:hAnsiTheme="majorBidi" w:cstheme="majorBidi"/>
          <w:b/>
          <w:bCs/>
          <w:sz w:val="20"/>
          <w:szCs w:val="20"/>
          <w:lang w:bidi="ar-EG"/>
        </w:rPr>
      </w:pPr>
      <w:r w:rsidRPr="0057661C">
        <w:rPr>
          <w:rFonts w:asciiTheme="majorBidi" w:hAnsiTheme="majorBidi" w:cstheme="majorBidi"/>
          <w:sz w:val="20"/>
          <w:szCs w:val="20"/>
          <w:lang w:bidi="ar-EG"/>
        </w:rPr>
        <w:t>E-</w:t>
      </w:r>
      <w:r w:rsidR="006313D7" w:rsidRPr="0057661C">
        <w:rPr>
          <w:rFonts w:asciiTheme="majorBidi" w:hAnsiTheme="majorBidi" w:cstheme="majorBidi"/>
          <w:sz w:val="20"/>
          <w:szCs w:val="20"/>
          <w:lang w:bidi="ar-EG"/>
        </w:rPr>
        <w:t>M</w:t>
      </w:r>
      <w:r w:rsidRPr="0057661C">
        <w:rPr>
          <w:rFonts w:asciiTheme="majorBidi" w:hAnsiTheme="majorBidi" w:cstheme="majorBidi"/>
          <w:sz w:val="20"/>
          <w:szCs w:val="20"/>
          <w:lang w:bidi="ar-EG"/>
        </w:rPr>
        <w:t>ail</w:t>
      </w:r>
      <w:r w:rsidR="001A6EA5" w:rsidRPr="0057661C">
        <w:rPr>
          <w:rFonts w:asciiTheme="majorBidi" w:hAnsiTheme="majorBidi" w:cstheme="majorBidi"/>
          <w:sz w:val="20"/>
          <w:szCs w:val="20"/>
          <w:lang w:bidi="ar-EG"/>
        </w:rPr>
        <w:t>:</w:t>
      </w:r>
      <w:r w:rsidR="001A6EA5" w:rsidRPr="0057661C">
        <w:rPr>
          <w:rFonts w:asciiTheme="majorBidi" w:hAnsiTheme="majorBidi" w:cstheme="majorBidi"/>
          <w:b/>
          <w:bCs/>
          <w:sz w:val="20"/>
          <w:szCs w:val="20"/>
          <w:lang w:bidi="ar-EG"/>
        </w:rPr>
        <w:t xml:space="preserve"> </w:t>
      </w:r>
      <w:r w:rsidR="0093223D">
        <w:t xml:space="preserve">haidymashhour </w:t>
      </w:r>
      <w:r w:rsidR="0093223D">
        <w:rPr>
          <w:rFonts w:asciiTheme="majorBidi" w:hAnsiTheme="majorBidi" w:cstheme="majorBidi"/>
          <w:b/>
          <w:bCs/>
          <w:sz w:val="20"/>
          <w:szCs w:val="20"/>
          <w:u w:val="single"/>
          <w:lang w:bidi="ar-EG"/>
        </w:rPr>
        <w:t>2021@gmail.com</w:t>
      </w:r>
    </w:p>
    <w:p w14:paraId="257B263F" w14:textId="77777777" w:rsidR="00183CB7" w:rsidRPr="0057661C" w:rsidRDefault="00C02353" w:rsidP="0057661C">
      <w:pPr>
        <w:bidi w:val="0"/>
        <w:spacing w:after="0" w:line="240" w:lineRule="auto"/>
        <w:jc w:val="both"/>
        <w:rPr>
          <w:rFonts w:asciiTheme="majorBidi" w:hAnsiTheme="majorBidi" w:cstheme="majorBidi"/>
          <w:b/>
          <w:bCs/>
          <w:i/>
          <w:iCs/>
          <w:sz w:val="20"/>
          <w:szCs w:val="20"/>
          <w:lang w:bidi="ar-EG"/>
        </w:rPr>
      </w:pPr>
      <w:r w:rsidRPr="0057661C">
        <w:rPr>
          <w:rFonts w:asciiTheme="majorBidi" w:hAnsiTheme="majorBidi" w:cstheme="majorBidi"/>
          <w:b/>
          <w:bCs/>
          <w:sz w:val="20"/>
          <w:szCs w:val="20"/>
          <w:lang w:bidi="ar-EG"/>
        </w:rPr>
        <w:t>Abstract</w:t>
      </w:r>
    </w:p>
    <w:p w14:paraId="73B76C58" w14:textId="4B7BD1BC" w:rsidR="0080331C" w:rsidRPr="0057661C" w:rsidRDefault="00335BB4" w:rsidP="0057661C">
      <w:pPr>
        <w:autoSpaceDE w:val="0"/>
        <w:autoSpaceDN w:val="0"/>
        <w:bidi w:val="0"/>
        <w:adjustRightInd w:val="0"/>
        <w:spacing w:after="0" w:line="240" w:lineRule="auto"/>
        <w:ind w:firstLine="360"/>
        <w:jc w:val="both"/>
        <w:rPr>
          <w:rFonts w:asciiTheme="majorBidi" w:hAnsiTheme="majorBidi" w:cstheme="majorBidi"/>
          <w:sz w:val="20"/>
          <w:szCs w:val="20"/>
          <w:lang w:bidi="ar-EG"/>
        </w:rPr>
      </w:pPr>
      <w:r w:rsidRPr="00335BB4">
        <w:rPr>
          <w:rFonts w:asciiTheme="majorBidi" w:hAnsiTheme="majorBidi" w:cstheme="majorBidi"/>
          <w:sz w:val="20"/>
          <w:szCs w:val="20"/>
          <w:lang w:bidi="ar-EG"/>
        </w:rPr>
        <w:t>SARS-CoV-2 infection can lead to the development of ARDS, which is associated with high mortality rates. COVID-19 has also been linked to myocardial injury and alterations in RV strain, which have been identified as independent predictors of poor prognosis. This study investigate</w:t>
      </w:r>
      <w:r w:rsidR="00526DB0">
        <w:rPr>
          <w:rFonts w:asciiTheme="majorBidi" w:hAnsiTheme="majorBidi" w:cstheme="majorBidi"/>
          <w:sz w:val="20"/>
          <w:szCs w:val="20"/>
          <w:lang w:bidi="ar-EG"/>
        </w:rPr>
        <w:t>d</w:t>
      </w:r>
      <w:r w:rsidRPr="00335BB4">
        <w:rPr>
          <w:rFonts w:asciiTheme="majorBidi" w:hAnsiTheme="majorBidi" w:cstheme="majorBidi"/>
          <w:sz w:val="20"/>
          <w:szCs w:val="20"/>
          <w:lang w:bidi="ar-EG"/>
        </w:rPr>
        <w:t xml:space="preserve"> the prevalence and prognostic significance of right heart failure and right ventricular-arterial uncoupling in patients with COVID-19 complicated by ARDS. </w:t>
      </w:r>
      <w:r w:rsidR="00B22AB7">
        <w:rPr>
          <w:rFonts w:asciiTheme="majorBidi" w:hAnsiTheme="majorBidi" w:cstheme="majorBidi"/>
          <w:sz w:val="20"/>
          <w:szCs w:val="20"/>
          <w:lang w:bidi="ar-EG"/>
        </w:rPr>
        <w:t>The research comprised a total of ninety-four individuals with acute respiratory failure caused by COVID-19. Using complete transthoracic echocardiography, the link between right ventricular function and pulmonary circulation was investigated, with an emphasis on the ratio of TAPSE to PASP. TAPSE was substantially higher in the group of survivors, but PASP was significantly higher in the group of the dead. LVEF, LVESD, frequency of tricuspid regurgitation, and LAD also differed considerably between the surviving and dying groups. There was no statistically significant difference between the two groups in terms of LVEDD. In conclusion, COVID-19-induced ARDS is linked with a considerable and early separation of right ventricular function from pulmonary circulation. Evaluation of this uncoupling by noninvasive echocardiography using the TAPSE/PASP ratio has been shown to be a significant predictor of patient outcome.</w:t>
      </w:r>
    </w:p>
    <w:p w14:paraId="336BAFA6" w14:textId="4289DB78" w:rsidR="002C4A1C" w:rsidRPr="0057661C" w:rsidRDefault="00AD5016" w:rsidP="0057661C">
      <w:pPr>
        <w:bidi w:val="0"/>
        <w:spacing w:after="0" w:line="240" w:lineRule="auto"/>
        <w:jc w:val="both"/>
        <w:rPr>
          <w:rFonts w:asciiTheme="majorBidi" w:eastAsiaTheme="minorHAnsi" w:hAnsiTheme="majorBidi" w:cstheme="majorBidi"/>
          <w:b/>
          <w:bCs/>
          <w:sz w:val="20"/>
          <w:szCs w:val="20"/>
        </w:rPr>
      </w:pPr>
      <w:r w:rsidRPr="0057661C">
        <w:rPr>
          <w:rFonts w:asciiTheme="majorBidi" w:hAnsiTheme="majorBidi" w:cstheme="majorBidi"/>
          <w:b/>
          <w:bCs/>
          <w:sz w:val="20"/>
          <w:szCs w:val="20"/>
          <w:lang w:bidi="ar-EG"/>
        </w:rPr>
        <w:t>Keyw</w:t>
      </w:r>
      <w:r w:rsidR="00DB515B" w:rsidRPr="0057661C">
        <w:rPr>
          <w:rFonts w:asciiTheme="majorBidi" w:hAnsiTheme="majorBidi" w:cstheme="majorBidi"/>
          <w:b/>
          <w:bCs/>
          <w:sz w:val="20"/>
          <w:szCs w:val="20"/>
          <w:lang w:bidi="ar-EG"/>
        </w:rPr>
        <w:t>ords:</w:t>
      </w:r>
      <w:r w:rsidR="00DB515B" w:rsidRPr="0057661C">
        <w:rPr>
          <w:rFonts w:asciiTheme="majorBidi" w:hAnsiTheme="majorBidi" w:cstheme="majorBidi"/>
          <w:sz w:val="20"/>
          <w:szCs w:val="20"/>
          <w:lang w:bidi="ar-EG"/>
        </w:rPr>
        <w:t xml:space="preserve"> </w:t>
      </w:r>
      <w:r w:rsidR="00920F15" w:rsidRPr="0057661C">
        <w:rPr>
          <w:rFonts w:asciiTheme="majorBidi" w:hAnsiTheme="majorBidi" w:cstheme="majorBidi"/>
          <w:sz w:val="20"/>
          <w:szCs w:val="20"/>
          <w:lang w:bidi="ar-EG"/>
        </w:rPr>
        <w:t>COVID-19, ARDS, Right ventricular-arterial uncoupling, Echocardiography, outcome</w:t>
      </w:r>
      <w:r w:rsidR="00920F15" w:rsidRPr="0057661C">
        <w:rPr>
          <w:rFonts w:asciiTheme="majorBidi" w:eastAsiaTheme="minorHAnsi" w:hAnsiTheme="majorBidi" w:cstheme="majorBidi"/>
          <w:b/>
          <w:bCs/>
          <w:sz w:val="20"/>
          <w:szCs w:val="20"/>
        </w:rPr>
        <w:t>.</w:t>
      </w:r>
    </w:p>
    <w:p w14:paraId="7966DC26" w14:textId="77777777" w:rsidR="0057661C" w:rsidRDefault="0057661C" w:rsidP="0057661C">
      <w:pPr>
        <w:bidi w:val="0"/>
        <w:spacing w:after="0" w:line="240" w:lineRule="auto"/>
        <w:jc w:val="both"/>
        <w:rPr>
          <w:rFonts w:asciiTheme="majorBidi" w:eastAsiaTheme="minorHAnsi" w:hAnsiTheme="majorBidi" w:cstheme="majorBidi"/>
          <w:b/>
          <w:bCs/>
          <w:sz w:val="20"/>
          <w:szCs w:val="20"/>
        </w:rPr>
        <w:sectPr w:rsidR="0057661C" w:rsidSect="0057661C">
          <w:type w:val="nextColumn"/>
          <w:pgSz w:w="11906" w:h="16838"/>
          <w:pgMar w:top="1440" w:right="1800" w:bottom="1440" w:left="1800" w:header="720" w:footer="720" w:gutter="0"/>
          <w:pgNumType w:start="1"/>
          <w:cols w:space="709"/>
          <w:titlePg/>
          <w:rtlGutter/>
          <w:docGrid w:linePitch="360"/>
        </w:sectPr>
      </w:pPr>
    </w:p>
    <w:p w14:paraId="453E4880" w14:textId="3A9ECE8D" w:rsidR="002C4A1C" w:rsidRPr="0057661C" w:rsidRDefault="002C4A1C" w:rsidP="0057661C">
      <w:pPr>
        <w:bidi w:val="0"/>
        <w:spacing w:after="0" w:line="240" w:lineRule="auto"/>
        <w:jc w:val="both"/>
        <w:rPr>
          <w:rFonts w:asciiTheme="majorBidi" w:eastAsiaTheme="minorHAnsi" w:hAnsiTheme="majorBidi" w:cstheme="majorBidi"/>
          <w:b/>
          <w:bCs/>
          <w:sz w:val="20"/>
          <w:szCs w:val="20"/>
        </w:rPr>
      </w:pPr>
      <w:r w:rsidRPr="0057661C">
        <w:rPr>
          <w:rFonts w:asciiTheme="majorBidi" w:eastAsiaTheme="minorHAnsi" w:hAnsiTheme="majorBidi" w:cstheme="majorBidi"/>
          <w:b/>
          <w:bCs/>
          <w:sz w:val="20"/>
          <w:szCs w:val="20"/>
        </w:rPr>
        <w:t>1.Introduction</w:t>
      </w:r>
    </w:p>
    <w:p w14:paraId="7333C2E1" w14:textId="4E69F898" w:rsidR="000C4A00" w:rsidRPr="000C4A00" w:rsidRDefault="004B5F88" w:rsidP="000C4A00">
      <w:pPr>
        <w:bidi w:val="0"/>
        <w:spacing w:after="0" w:line="240" w:lineRule="auto"/>
        <w:ind w:firstLine="360"/>
        <w:jc w:val="both"/>
        <w:rPr>
          <w:rFonts w:asciiTheme="majorBidi" w:eastAsiaTheme="minorHAnsi" w:hAnsiTheme="majorBidi" w:cstheme="majorBidi"/>
          <w:sz w:val="20"/>
          <w:szCs w:val="20"/>
        </w:rPr>
      </w:pPr>
      <w:r w:rsidRPr="004B5F88">
        <w:rPr>
          <w:rFonts w:asciiTheme="majorBidi" w:eastAsiaTheme="minorHAnsi" w:hAnsiTheme="majorBidi" w:cstheme="majorBidi"/>
          <w:sz w:val="20"/>
          <w:szCs w:val="20"/>
        </w:rPr>
        <w:t>SARS-CoV-2 infection can result in ARDS, with mortality rates ranging from 26% to 61% [1]. Moreover, COVID-19 is linked to myocardial injury and altered strain in the right ventricle (RV), which is an independent predictor of poor prognosis [2]. Acute cor pulmonale, characterized by right heart failure, is a recognized complication of ARDS, influenced by disease severity and ventilatory strategies that cause lung hyperinflation and permissive hypercapnia [3].</w:t>
      </w:r>
    </w:p>
    <w:p w14:paraId="23C81B3D" w14:textId="77777777" w:rsidR="000C4A00" w:rsidRPr="000C4A00" w:rsidRDefault="000C4A00" w:rsidP="000C4A00">
      <w:pPr>
        <w:spacing w:after="0" w:line="240" w:lineRule="auto"/>
        <w:ind w:firstLine="360"/>
        <w:rPr>
          <w:rFonts w:asciiTheme="majorBidi" w:eastAsiaTheme="minorHAnsi" w:hAnsiTheme="majorBidi" w:cstheme="majorBidi"/>
          <w:sz w:val="20"/>
          <w:szCs w:val="20"/>
        </w:rPr>
      </w:pPr>
    </w:p>
    <w:p w14:paraId="4EC9C368" w14:textId="22C2115D" w:rsidR="000C4A00" w:rsidRPr="000C4A00" w:rsidRDefault="00B22AB7" w:rsidP="000C4A00">
      <w:pPr>
        <w:bidi w:val="0"/>
        <w:spacing w:after="0" w:line="240" w:lineRule="auto"/>
        <w:ind w:firstLine="360"/>
        <w:jc w:val="both"/>
        <w:rPr>
          <w:rFonts w:asciiTheme="majorBidi" w:eastAsiaTheme="minorHAnsi" w:hAnsiTheme="majorBidi" w:cstheme="majorBidi"/>
          <w:sz w:val="20"/>
          <w:szCs w:val="20"/>
        </w:rPr>
      </w:pPr>
      <w:r>
        <w:rPr>
          <w:rFonts w:asciiTheme="majorBidi" w:eastAsiaTheme="minorHAnsi" w:hAnsiTheme="majorBidi" w:cstheme="majorBidi"/>
          <w:sz w:val="20"/>
          <w:szCs w:val="20"/>
        </w:rPr>
        <w:t>We hypothesized that COVID-19-induced cardiac damage and inflammatory alterations may contribute to the development of acute right heart failure in ARDS based on these results. This research sought to determine the prevalence and prognostic importance of right heart failure and the decoupling of right ventricular function from pulmonary circulation in COVID-19 and ARDS patients.</w:t>
      </w:r>
    </w:p>
    <w:p w14:paraId="2D5A5B3A" w14:textId="77777777" w:rsidR="000C4A00" w:rsidRPr="000C4A00" w:rsidRDefault="000C4A00" w:rsidP="000C4A00">
      <w:pPr>
        <w:spacing w:after="0" w:line="240" w:lineRule="auto"/>
        <w:ind w:firstLine="360"/>
        <w:rPr>
          <w:rFonts w:asciiTheme="majorBidi" w:eastAsiaTheme="minorHAnsi" w:hAnsiTheme="majorBidi" w:cstheme="majorBidi"/>
          <w:sz w:val="20"/>
          <w:szCs w:val="20"/>
        </w:rPr>
      </w:pPr>
    </w:p>
    <w:p w14:paraId="69ACDC01" w14:textId="117C68AA" w:rsidR="001154F8" w:rsidRPr="0057661C" w:rsidRDefault="00506F59" w:rsidP="00F84607">
      <w:pPr>
        <w:pStyle w:val="NoSpacing"/>
      </w:pPr>
      <w:r w:rsidRPr="00506F59">
        <w:t>To accomplish this objective, we conducted bedside transthoracic echocardiography, specifically evaluating the TAPSE to PASP ratio. This assessment allowed us to examine the relationship between RV function and the pulmonary circulation.</w:t>
      </w:r>
    </w:p>
    <w:p w14:paraId="0C2AFA3C" w14:textId="2A8B7137" w:rsidR="002C4A1C" w:rsidRPr="0057661C" w:rsidRDefault="002C4A1C" w:rsidP="0057661C">
      <w:pPr>
        <w:bidi w:val="0"/>
        <w:spacing w:after="0" w:line="240" w:lineRule="auto"/>
        <w:jc w:val="both"/>
        <w:rPr>
          <w:rFonts w:asciiTheme="majorBidi" w:eastAsiaTheme="minorHAnsi" w:hAnsiTheme="majorBidi" w:cstheme="majorBidi"/>
          <w:b/>
          <w:bCs/>
          <w:sz w:val="20"/>
          <w:szCs w:val="20"/>
        </w:rPr>
      </w:pPr>
      <w:r w:rsidRPr="0057661C">
        <w:rPr>
          <w:rFonts w:asciiTheme="majorBidi" w:eastAsiaTheme="minorHAnsi" w:hAnsiTheme="majorBidi" w:cstheme="majorBidi"/>
          <w:b/>
          <w:bCs/>
          <w:sz w:val="20"/>
          <w:szCs w:val="20"/>
        </w:rPr>
        <w:t>2.</w:t>
      </w:r>
      <w:r w:rsidR="00DE390D" w:rsidRPr="0057661C">
        <w:rPr>
          <w:rFonts w:asciiTheme="majorBidi" w:hAnsiTheme="majorBidi" w:cstheme="majorBidi"/>
          <w:sz w:val="20"/>
          <w:szCs w:val="20"/>
        </w:rPr>
        <w:t xml:space="preserve"> </w:t>
      </w:r>
      <w:r w:rsidR="00DE390D" w:rsidRPr="0057661C">
        <w:rPr>
          <w:rFonts w:asciiTheme="majorBidi" w:eastAsiaTheme="minorHAnsi" w:hAnsiTheme="majorBidi" w:cstheme="majorBidi"/>
          <w:b/>
          <w:bCs/>
          <w:sz w:val="20"/>
          <w:szCs w:val="20"/>
        </w:rPr>
        <w:t>Patients and methods</w:t>
      </w:r>
    </w:p>
    <w:p w14:paraId="7CD29042" w14:textId="42830A25" w:rsidR="002C4A1C" w:rsidRPr="0057661C" w:rsidRDefault="002C4A1C" w:rsidP="0057661C">
      <w:pPr>
        <w:bidi w:val="0"/>
        <w:spacing w:after="0" w:line="240" w:lineRule="auto"/>
        <w:jc w:val="both"/>
        <w:rPr>
          <w:rFonts w:asciiTheme="majorBidi" w:eastAsiaTheme="minorHAnsi" w:hAnsiTheme="majorBidi" w:cstheme="majorBidi"/>
          <w:b/>
          <w:bCs/>
          <w:sz w:val="20"/>
          <w:szCs w:val="20"/>
          <w:lang w:bidi="ar-EG"/>
        </w:rPr>
      </w:pPr>
      <w:r w:rsidRPr="0057661C">
        <w:rPr>
          <w:rFonts w:asciiTheme="majorBidi" w:eastAsiaTheme="minorHAnsi" w:hAnsiTheme="majorBidi" w:cstheme="majorBidi"/>
          <w:b/>
          <w:bCs/>
          <w:sz w:val="20"/>
          <w:szCs w:val="20"/>
          <w:lang w:bidi="ar-EG"/>
        </w:rPr>
        <w:t>2.1</w:t>
      </w:r>
      <w:r w:rsidRPr="0057661C">
        <w:rPr>
          <w:rFonts w:asciiTheme="majorBidi" w:eastAsiaTheme="minorHAnsi" w:hAnsiTheme="majorBidi" w:cstheme="majorBidi"/>
          <w:b/>
          <w:bCs/>
          <w:sz w:val="20"/>
          <w:szCs w:val="20"/>
        </w:rPr>
        <w:t xml:space="preserve"> </w:t>
      </w:r>
      <w:r w:rsidR="00DE390D" w:rsidRPr="0057661C">
        <w:rPr>
          <w:rFonts w:asciiTheme="majorBidi" w:eastAsiaTheme="minorHAnsi" w:hAnsiTheme="majorBidi" w:cstheme="majorBidi"/>
          <w:b/>
          <w:bCs/>
          <w:sz w:val="20"/>
          <w:szCs w:val="20"/>
          <w:lang w:bidi="ar-EG"/>
        </w:rPr>
        <w:t>Study design:</w:t>
      </w:r>
    </w:p>
    <w:p w14:paraId="3F07AD36" w14:textId="11BCC0B6" w:rsidR="002C4A1C" w:rsidRPr="0057661C" w:rsidRDefault="00DE390D" w:rsidP="0057661C">
      <w:pPr>
        <w:bidi w:val="0"/>
        <w:spacing w:after="0" w:line="240" w:lineRule="auto"/>
        <w:ind w:firstLine="36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rPr>
        <w:t>It will be a Single center,</w:t>
      </w:r>
      <w:r w:rsidR="00506F59">
        <w:rPr>
          <w:rFonts w:asciiTheme="majorBidi" w:eastAsiaTheme="minorHAnsi" w:hAnsiTheme="majorBidi" w:cstheme="majorBidi"/>
          <w:sz w:val="20"/>
          <w:szCs w:val="20"/>
        </w:rPr>
        <w:t xml:space="preserve"> </w:t>
      </w:r>
      <w:r w:rsidRPr="0057661C">
        <w:rPr>
          <w:rFonts w:asciiTheme="majorBidi" w:eastAsiaTheme="minorHAnsi" w:hAnsiTheme="majorBidi" w:cstheme="majorBidi"/>
          <w:sz w:val="20"/>
          <w:szCs w:val="20"/>
        </w:rPr>
        <w:t>prospective observational study that will be conducted at Benha University Hospital.</w:t>
      </w:r>
      <w:r w:rsidR="002C4A1C" w:rsidRPr="0057661C">
        <w:rPr>
          <w:rFonts w:asciiTheme="majorBidi" w:eastAsiaTheme="minorHAnsi" w:hAnsiTheme="majorBidi" w:cstheme="majorBidi"/>
          <w:sz w:val="20"/>
          <w:szCs w:val="20"/>
          <w:lang w:bidi="ar-EG"/>
        </w:rPr>
        <w:t xml:space="preserve"> </w:t>
      </w:r>
    </w:p>
    <w:p w14:paraId="248CD579" w14:textId="089CC03F" w:rsidR="002C4A1C" w:rsidRPr="0057661C" w:rsidRDefault="002C4A1C" w:rsidP="0057661C">
      <w:pPr>
        <w:bidi w:val="0"/>
        <w:spacing w:after="0" w:line="240" w:lineRule="auto"/>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 xml:space="preserve"> </w:t>
      </w:r>
      <w:r w:rsidRPr="0057661C">
        <w:rPr>
          <w:rFonts w:asciiTheme="majorBidi" w:eastAsiaTheme="minorHAnsi" w:hAnsiTheme="majorBidi" w:cstheme="majorBidi"/>
          <w:b/>
          <w:bCs/>
          <w:sz w:val="20"/>
          <w:szCs w:val="20"/>
          <w:lang w:bidi="ar-EG"/>
        </w:rPr>
        <w:t>2.2</w:t>
      </w:r>
      <w:r w:rsidRPr="0057661C">
        <w:rPr>
          <w:rFonts w:asciiTheme="majorBidi" w:eastAsiaTheme="minorHAnsi" w:hAnsiTheme="majorBidi" w:cstheme="majorBidi"/>
          <w:b/>
          <w:bCs/>
          <w:sz w:val="20"/>
          <w:szCs w:val="20"/>
        </w:rPr>
        <w:t xml:space="preserve"> </w:t>
      </w:r>
      <w:r w:rsidR="00DE390D" w:rsidRPr="0057661C">
        <w:rPr>
          <w:rFonts w:asciiTheme="majorBidi" w:eastAsiaTheme="minorHAnsi" w:hAnsiTheme="majorBidi" w:cstheme="majorBidi"/>
          <w:b/>
          <w:bCs/>
          <w:sz w:val="20"/>
          <w:szCs w:val="20"/>
          <w:lang w:bidi="ar-EG"/>
        </w:rPr>
        <w:t>Patients:</w:t>
      </w:r>
    </w:p>
    <w:p w14:paraId="47CFE6F9" w14:textId="49327867" w:rsidR="00DE390D" w:rsidRPr="0057661C" w:rsidRDefault="00C74671" w:rsidP="0057661C">
      <w:pPr>
        <w:autoSpaceDE w:val="0"/>
        <w:autoSpaceDN w:val="0"/>
        <w:bidi w:val="0"/>
        <w:adjustRightInd w:val="0"/>
        <w:spacing w:after="0" w:line="240" w:lineRule="auto"/>
        <w:ind w:firstLine="360"/>
        <w:jc w:val="both"/>
        <w:rPr>
          <w:rFonts w:asciiTheme="majorBidi" w:eastAsiaTheme="minorHAnsi" w:hAnsiTheme="majorBidi" w:cstheme="majorBidi"/>
          <w:sz w:val="20"/>
          <w:szCs w:val="20"/>
          <w:lang w:bidi="ar-EG"/>
        </w:rPr>
      </w:pPr>
      <w:r w:rsidRPr="00C74671">
        <w:rPr>
          <w:rFonts w:asciiTheme="majorBidi" w:eastAsiaTheme="minorHAnsi" w:hAnsiTheme="majorBidi" w:cstheme="majorBidi"/>
          <w:sz w:val="20"/>
          <w:szCs w:val="20"/>
          <w:lang w:bidi="ar-EG"/>
        </w:rPr>
        <w:t xml:space="preserve">A total of ninety-four individuals diagnosed with COVID-19 complicated by ARDS </w:t>
      </w:r>
      <w:r>
        <w:rPr>
          <w:rFonts w:asciiTheme="majorBidi" w:eastAsiaTheme="minorHAnsi" w:hAnsiTheme="majorBidi" w:cstheme="majorBidi"/>
          <w:sz w:val="20"/>
          <w:szCs w:val="20"/>
          <w:lang w:bidi="ar-EG"/>
        </w:rPr>
        <w:t>were</w:t>
      </w:r>
      <w:r w:rsidRPr="00C74671">
        <w:rPr>
          <w:rFonts w:asciiTheme="majorBidi" w:eastAsiaTheme="minorHAnsi" w:hAnsiTheme="majorBidi" w:cstheme="majorBidi"/>
          <w:sz w:val="20"/>
          <w:szCs w:val="20"/>
          <w:lang w:bidi="ar-EG"/>
        </w:rPr>
        <w:t xml:space="preserve"> included in this study. These </w:t>
      </w:r>
      <w:r w:rsidRPr="00C74671">
        <w:rPr>
          <w:rFonts w:asciiTheme="majorBidi" w:eastAsiaTheme="minorHAnsi" w:hAnsiTheme="majorBidi" w:cstheme="majorBidi"/>
          <w:sz w:val="20"/>
          <w:szCs w:val="20"/>
          <w:lang w:bidi="ar-EG"/>
        </w:rPr>
        <w:t>patients will undergo evaluations upon admission and will be followed up for a duration of one month to assess the short-term predictive value of the TAPSE/PASP ratio in COVID-19 ARDS patients.</w:t>
      </w:r>
    </w:p>
    <w:p w14:paraId="4A59A5B1" w14:textId="1E795E60" w:rsidR="002C4A1C" w:rsidRPr="0057661C" w:rsidRDefault="002C4A1C" w:rsidP="0057661C">
      <w:pPr>
        <w:bidi w:val="0"/>
        <w:spacing w:after="0" w:line="240" w:lineRule="auto"/>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b/>
          <w:bCs/>
          <w:sz w:val="20"/>
          <w:szCs w:val="20"/>
          <w:lang w:bidi="ar-EG"/>
        </w:rPr>
        <w:t>2.3</w:t>
      </w:r>
      <w:r w:rsidRPr="0057661C">
        <w:rPr>
          <w:rFonts w:asciiTheme="majorBidi" w:eastAsiaTheme="minorHAnsi" w:hAnsiTheme="majorBidi" w:cstheme="majorBidi"/>
          <w:b/>
          <w:bCs/>
          <w:sz w:val="20"/>
          <w:szCs w:val="20"/>
        </w:rPr>
        <w:t xml:space="preserve"> </w:t>
      </w:r>
      <w:r w:rsidR="00DE390D" w:rsidRPr="0057661C">
        <w:rPr>
          <w:rFonts w:asciiTheme="majorBidi" w:eastAsiaTheme="minorHAnsi" w:hAnsiTheme="majorBidi" w:cstheme="majorBidi"/>
          <w:b/>
          <w:bCs/>
          <w:sz w:val="20"/>
          <w:szCs w:val="20"/>
          <w:lang w:bidi="ar-EG"/>
        </w:rPr>
        <w:t>Inclusion criteria:</w:t>
      </w:r>
    </w:p>
    <w:p w14:paraId="2AF4AB74" w14:textId="7862F933" w:rsidR="00DE390D" w:rsidRPr="0057661C" w:rsidRDefault="00DE390D" w:rsidP="0057661C">
      <w:pPr>
        <w:autoSpaceDE w:val="0"/>
        <w:autoSpaceDN w:val="0"/>
        <w:bidi w:val="0"/>
        <w:adjustRightInd w:val="0"/>
        <w:spacing w:after="0" w:line="240" w:lineRule="auto"/>
        <w:jc w:val="both"/>
        <w:rPr>
          <w:rFonts w:asciiTheme="majorBidi" w:hAnsiTheme="majorBidi" w:cstheme="majorBidi"/>
          <w:sz w:val="20"/>
          <w:szCs w:val="20"/>
        </w:rPr>
      </w:pPr>
      <w:r w:rsidRPr="0057661C">
        <w:rPr>
          <w:rFonts w:asciiTheme="majorBidi" w:eastAsiaTheme="minorHAnsi" w:hAnsiTheme="majorBidi" w:cstheme="majorBidi"/>
          <w:sz w:val="20"/>
          <w:szCs w:val="20"/>
          <w:lang w:bidi="ar-EG"/>
        </w:rPr>
        <w:t xml:space="preserve">Patients of both </w:t>
      </w:r>
      <w:r w:rsidR="00526DB0" w:rsidRPr="0057661C">
        <w:rPr>
          <w:rFonts w:asciiTheme="majorBidi" w:eastAsiaTheme="minorHAnsi" w:hAnsiTheme="majorBidi" w:cstheme="majorBidi"/>
          <w:sz w:val="20"/>
          <w:szCs w:val="20"/>
          <w:lang w:bidi="ar-EG"/>
        </w:rPr>
        <w:t>genders</w:t>
      </w:r>
      <w:r w:rsidRPr="0057661C">
        <w:rPr>
          <w:rFonts w:asciiTheme="majorBidi" w:eastAsiaTheme="minorHAnsi" w:hAnsiTheme="majorBidi" w:cstheme="majorBidi"/>
          <w:sz w:val="20"/>
          <w:szCs w:val="20"/>
          <w:lang w:bidi="ar-EG"/>
        </w:rPr>
        <w:t xml:space="preserve"> </w:t>
      </w:r>
      <w:r w:rsidR="00526DB0" w:rsidRPr="0057661C">
        <w:rPr>
          <w:rFonts w:asciiTheme="majorBidi" w:eastAsiaTheme="minorHAnsi" w:hAnsiTheme="majorBidi" w:cstheme="majorBidi"/>
          <w:sz w:val="20"/>
          <w:szCs w:val="20"/>
          <w:lang w:bidi="ar-EG"/>
        </w:rPr>
        <w:t>were presented</w:t>
      </w:r>
      <w:r w:rsidRPr="0057661C">
        <w:rPr>
          <w:rFonts w:asciiTheme="majorBidi" w:eastAsiaTheme="minorHAnsi" w:hAnsiTheme="majorBidi" w:cstheme="majorBidi"/>
          <w:sz w:val="20"/>
          <w:szCs w:val="20"/>
          <w:lang w:bidi="ar-EG"/>
        </w:rPr>
        <w:t xml:space="preserve"> with covid- 19 complicated by ARDS.</w:t>
      </w:r>
      <w:r w:rsidRPr="0057661C">
        <w:rPr>
          <w:rFonts w:asciiTheme="majorBidi" w:hAnsiTheme="majorBidi" w:cstheme="majorBidi"/>
          <w:sz w:val="20"/>
          <w:szCs w:val="20"/>
        </w:rPr>
        <w:t xml:space="preserve"> </w:t>
      </w:r>
    </w:p>
    <w:p w14:paraId="7B9FBA91" w14:textId="4494DC32" w:rsidR="00816D20" w:rsidRPr="0057661C" w:rsidRDefault="00DE390D" w:rsidP="0057661C">
      <w:pPr>
        <w:autoSpaceDE w:val="0"/>
        <w:autoSpaceDN w:val="0"/>
        <w:bidi w:val="0"/>
        <w:adjustRightInd w:val="0"/>
        <w:spacing w:after="0" w:line="240" w:lineRule="auto"/>
        <w:ind w:firstLine="36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Patients with adequate imaging quality by trans thoracic echocardiography.</w:t>
      </w:r>
    </w:p>
    <w:p w14:paraId="39C53474" w14:textId="1F94F09B" w:rsidR="00816D20" w:rsidRPr="0057661C" w:rsidRDefault="00816D20" w:rsidP="0057661C">
      <w:pPr>
        <w:bidi w:val="0"/>
        <w:spacing w:after="0" w:line="240" w:lineRule="auto"/>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b/>
          <w:bCs/>
          <w:sz w:val="20"/>
          <w:szCs w:val="20"/>
          <w:lang w:bidi="ar-EG"/>
        </w:rPr>
        <w:t>2.4</w:t>
      </w:r>
      <w:r w:rsidRPr="0057661C">
        <w:rPr>
          <w:rFonts w:asciiTheme="majorBidi" w:eastAsiaTheme="minorHAnsi" w:hAnsiTheme="majorBidi" w:cstheme="majorBidi"/>
          <w:b/>
          <w:bCs/>
          <w:sz w:val="20"/>
          <w:szCs w:val="20"/>
        </w:rPr>
        <w:t xml:space="preserve"> </w:t>
      </w:r>
      <w:r w:rsidR="0025251B" w:rsidRPr="0057661C">
        <w:rPr>
          <w:rFonts w:asciiTheme="majorBidi" w:eastAsiaTheme="minorHAnsi" w:hAnsiTheme="majorBidi" w:cstheme="majorBidi"/>
          <w:b/>
          <w:bCs/>
          <w:sz w:val="20"/>
          <w:szCs w:val="20"/>
        </w:rPr>
        <w:t>Exclusion criteria:</w:t>
      </w:r>
    </w:p>
    <w:p w14:paraId="407EFEC1" w14:textId="19E9BA94" w:rsidR="00174BC0" w:rsidRPr="0057661C" w:rsidRDefault="002843D4" w:rsidP="0057661C">
      <w:pPr>
        <w:autoSpaceDE w:val="0"/>
        <w:autoSpaceDN w:val="0"/>
        <w:bidi w:val="0"/>
        <w:adjustRightInd w:val="0"/>
        <w:spacing w:after="0" w:line="240" w:lineRule="auto"/>
        <w:ind w:firstLine="36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 xml:space="preserve">Patients are excluded for </w:t>
      </w:r>
      <w:r w:rsidR="0025251B" w:rsidRPr="0057661C">
        <w:rPr>
          <w:rFonts w:asciiTheme="majorBidi" w:eastAsiaTheme="minorHAnsi" w:hAnsiTheme="majorBidi" w:cstheme="majorBidi"/>
          <w:sz w:val="20"/>
          <w:szCs w:val="20"/>
          <w:lang w:bidi="ar-EG"/>
        </w:rPr>
        <w:t>Unwilling or unable to provid</w:t>
      </w:r>
      <w:r w:rsidR="00FC36A7" w:rsidRPr="0057661C">
        <w:rPr>
          <w:rFonts w:asciiTheme="majorBidi" w:eastAsiaTheme="minorHAnsi" w:hAnsiTheme="majorBidi" w:cstheme="majorBidi"/>
          <w:sz w:val="20"/>
          <w:szCs w:val="20"/>
          <w:lang w:bidi="ar-EG"/>
        </w:rPr>
        <w:t>e written informed conse,</w:t>
      </w:r>
      <w:r w:rsidR="0025251B" w:rsidRPr="0057661C">
        <w:rPr>
          <w:rFonts w:asciiTheme="majorBidi" w:eastAsiaTheme="minorHAnsi" w:hAnsiTheme="majorBidi" w:cstheme="majorBidi"/>
          <w:sz w:val="20"/>
          <w:szCs w:val="20"/>
          <w:rtl/>
          <w:lang w:bidi="ar-EG"/>
        </w:rPr>
        <w:t xml:space="preserve"> </w:t>
      </w:r>
      <w:r w:rsidR="00FC36A7" w:rsidRPr="0057661C">
        <w:rPr>
          <w:rFonts w:asciiTheme="majorBidi" w:eastAsiaTheme="minorHAnsi" w:hAnsiTheme="majorBidi" w:cstheme="majorBidi"/>
          <w:sz w:val="20"/>
          <w:szCs w:val="20"/>
          <w:lang w:bidi="ar-EG"/>
        </w:rPr>
        <w:t xml:space="preserve">Poor Echo window, </w:t>
      </w:r>
      <w:r w:rsidR="0025251B" w:rsidRPr="0057661C">
        <w:rPr>
          <w:rFonts w:asciiTheme="majorBidi" w:eastAsiaTheme="minorHAnsi" w:hAnsiTheme="majorBidi" w:cstheme="majorBidi"/>
          <w:sz w:val="20"/>
          <w:szCs w:val="20"/>
          <w:lang w:bidi="ar-EG"/>
        </w:rPr>
        <w:t>previous right v</w:t>
      </w:r>
      <w:r w:rsidR="00FC36A7" w:rsidRPr="0057661C">
        <w:rPr>
          <w:rFonts w:asciiTheme="majorBidi" w:eastAsiaTheme="minorHAnsi" w:hAnsiTheme="majorBidi" w:cstheme="majorBidi"/>
          <w:sz w:val="20"/>
          <w:szCs w:val="20"/>
          <w:lang w:bidi="ar-EG"/>
        </w:rPr>
        <w:t xml:space="preserve">entricular systolic dysfunction, </w:t>
      </w:r>
      <w:r w:rsidR="0025251B" w:rsidRPr="0057661C">
        <w:rPr>
          <w:rFonts w:asciiTheme="majorBidi" w:eastAsiaTheme="minorHAnsi" w:hAnsiTheme="majorBidi" w:cstheme="majorBidi"/>
          <w:sz w:val="20"/>
          <w:szCs w:val="20"/>
          <w:lang w:bidi="ar-EG"/>
        </w:rPr>
        <w:t>previous pulmonary arterial hypertension, ARDS due to COPD or lung disease other than</w:t>
      </w:r>
      <w:r w:rsidRPr="0057661C">
        <w:rPr>
          <w:rFonts w:asciiTheme="majorBidi" w:eastAsiaTheme="minorHAnsi" w:hAnsiTheme="majorBidi" w:cstheme="majorBidi"/>
          <w:sz w:val="20"/>
          <w:szCs w:val="20"/>
          <w:lang w:bidi="ar-EG"/>
        </w:rPr>
        <w:t xml:space="preserve"> covid -19, Chronic thromboembolic pulmonary hypertension</w:t>
      </w:r>
      <w:r w:rsidR="00174BC0" w:rsidRPr="0057661C">
        <w:rPr>
          <w:rFonts w:asciiTheme="majorBidi" w:eastAsiaTheme="minorHAnsi" w:hAnsiTheme="majorBidi" w:cstheme="majorBidi"/>
          <w:sz w:val="20"/>
          <w:szCs w:val="20"/>
          <w:lang w:bidi="ar-EG"/>
        </w:rPr>
        <w:t>.</w:t>
      </w:r>
    </w:p>
    <w:p w14:paraId="4407E0C2" w14:textId="0CAC0DE6" w:rsidR="00174BC0" w:rsidRPr="0057661C" w:rsidRDefault="00174BC0" w:rsidP="0057661C">
      <w:pPr>
        <w:autoSpaceDE w:val="0"/>
        <w:autoSpaceDN w:val="0"/>
        <w:bidi w:val="0"/>
        <w:adjustRightInd w:val="0"/>
        <w:spacing w:after="0" w:line="240" w:lineRule="auto"/>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b/>
          <w:bCs/>
          <w:sz w:val="20"/>
          <w:szCs w:val="20"/>
        </w:rPr>
        <w:t>2.5 Patient's characteristics:</w:t>
      </w:r>
    </w:p>
    <w:p w14:paraId="6A527C4F" w14:textId="5C8105EA" w:rsidR="00174BC0" w:rsidRPr="0057661C" w:rsidRDefault="00174BC0" w:rsidP="0057661C">
      <w:pPr>
        <w:autoSpaceDE w:val="0"/>
        <w:autoSpaceDN w:val="0"/>
        <w:bidi w:val="0"/>
        <w:adjustRightInd w:val="0"/>
        <w:spacing w:after="0" w:line="240" w:lineRule="auto"/>
        <w:jc w:val="both"/>
        <w:rPr>
          <w:rFonts w:asciiTheme="majorBidi" w:eastAsiaTheme="minorHAnsi" w:hAnsiTheme="majorBidi" w:cstheme="majorBidi"/>
          <w:b/>
          <w:bCs/>
          <w:sz w:val="20"/>
          <w:szCs w:val="20"/>
          <w:lang w:bidi="ar-EG"/>
        </w:rPr>
      </w:pPr>
      <w:r w:rsidRPr="0057661C">
        <w:rPr>
          <w:rFonts w:asciiTheme="majorBidi" w:eastAsiaTheme="minorHAnsi" w:hAnsiTheme="majorBidi" w:cstheme="majorBidi"/>
          <w:b/>
          <w:bCs/>
          <w:sz w:val="20"/>
          <w:szCs w:val="20"/>
          <w:lang w:bidi="ar-EG"/>
        </w:rPr>
        <w:t>Demographics</w:t>
      </w:r>
      <w:r w:rsidRPr="0057661C">
        <w:rPr>
          <w:rFonts w:asciiTheme="majorBidi" w:eastAsiaTheme="minorHAnsi" w:hAnsiTheme="majorBidi" w:cstheme="majorBidi"/>
          <w:b/>
          <w:bCs/>
          <w:sz w:val="20"/>
          <w:szCs w:val="20"/>
          <w:rtl/>
          <w:lang w:bidi="ar-EG"/>
        </w:rPr>
        <w:t>:</w:t>
      </w:r>
    </w:p>
    <w:p w14:paraId="7977E239" w14:textId="3F3DC81E" w:rsidR="00174BC0" w:rsidRPr="0057661C" w:rsidRDefault="00174BC0" w:rsidP="0057661C">
      <w:pPr>
        <w:pStyle w:val="ListParagraph"/>
        <w:numPr>
          <w:ilvl w:val="0"/>
          <w:numId w:val="14"/>
        </w:numPr>
        <w:autoSpaceDE w:val="0"/>
        <w:autoSpaceDN w:val="0"/>
        <w:bidi w:val="0"/>
        <w:adjustRightInd w:val="0"/>
        <w:spacing w:after="0" w:line="240" w:lineRule="auto"/>
        <w:ind w:left="360" w:hanging="27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Age</w:t>
      </w:r>
    </w:p>
    <w:p w14:paraId="072EAAC2" w14:textId="44F3CEB5" w:rsidR="00174BC0" w:rsidRPr="0057661C" w:rsidRDefault="00174BC0" w:rsidP="0057661C">
      <w:pPr>
        <w:pStyle w:val="ListParagraph"/>
        <w:numPr>
          <w:ilvl w:val="0"/>
          <w:numId w:val="14"/>
        </w:numPr>
        <w:autoSpaceDE w:val="0"/>
        <w:autoSpaceDN w:val="0"/>
        <w:bidi w:val="0"/>
        <w:adjustRightInd w:val="0"/>
        <w:spacing w:after="0" w:line="240" w:lineRule="auto"/>
        <w:ind w:left="360" w:hanging="27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Gender</w:t>
      </w:r>
    </w:p>
    <w:p w14:paraId="6D92EAE0" w14:textId="77777777" w:rsidR="00174BC0" w:rsidRPr="0057661C" w:rsidRDefault="00174BC0" w:rsidP="0057661C">
      <w:pPr>
        <w:pStyle w:val="ListParagraph"/>
        <w:numPr>
          <w:ilvl w:val="0"/>
          <w:numId w:val="14"/>
        </w:numPr>
        <w:autoSpaceDE w:val="0"/>
        <w:autoSpaceDN w:val="0"/>
        <w:bidi w:val="0"/>
        <w:adjustRightInd w:val="0"/>
        <w:spacing w:after="0" w:line="240" w:lineRule="auto"/>
        <w:ind w:left="360" w:hanging="270"/>
        <w:contextualSpacing w:val="0"/>
        <w:jc w:val="both"/>
        <w:rPr>
          <w:rFonts w:asciiTheme="majorBidi" w:eastAsiaTheme="minorHAnsi" w:hAnsiTheme="majorBidi" w:cstheme="majorBidi"/>
          <w:b/>
          <w:bCs/>
          <w:sz w:val="20"/>
          <w:szCs w:val="20"/>
          <w:lang w:bidi="ar-EG"/>
        </w:rPr>
      </w:pPr>
      <w:r w:rsidRPr="0057661C">
        <w:rPr>
          <w:rFonts w:asciiTheme="majorBidi" w:eastAsiaTheme="minorHAnsi" w:hAnsiTheme="majorBidi" w:cstheme="majorBidi"/>
          <w:b/>
          <w:bCs/>
          <w:sz w:val="20"/>
          <w:szCs w:val="20"/>
          <w:lang w:bidi="ar-EG"/>
        </w:rPr>
        <w:t>Admission details</w:t>
      </w:r>
      <w:r w:rsidRPr="0057661C">
        <w:rPr>
          <w:rFonts w:asciiTheme="majorBidi" w:eastAsiaTheme="minorHAnsi" w:hAnsiTheme="majorBidi" w:cstheme="majorBidi"/>
          <w:b/>
          <w:bCs/>
          <w:sz w:val="20"/>
          <w:szCs w:val="20"/>
          <w:rtl/>
          <w:lang w:bidi="ar-EG"/>
        </w:rPr>
        <w:t>:</w:t>
      </w:r>
    </w:p>
    <w:p w14:paraId="19823029" w14:textId="68B631CC" w:rsidR="00174BC0" w:rsidRPr="0057661C" w:rsidRDefault="00174BC0" w:rsidP="0057661C">
      <w:pPr>
        <w:pStyle w:val="ListParagraph"/>
        <w:numPr>
          <w:ilvl w:val="0"/>
          <w:numId w:val="14"/>
        </w:numPr>
        <w:autoSpaceDE w:val="0"/>
        <w:autoSpaceDN w:val="0"/>
        <w:bidi w:val="0"/>
        <w:adjustRightInd w:val="0"/>
        <w:spacing w:after="0" w:line="240" w:lineRule="auto"/>
        <w:ind w:left="360" w:hanging="27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Risk factors (hypertension, diabetes mellitus, smoking, obesity</w:t>
      </w:r>
    </w:p>
    <w:p w14:paraId="327E55DC" w14:textId="30A14A68" w:rsidR="00174BC0" w:rsidRPr="0057661C" w:rsidRDefault="00174BC0" w:rsidP="0057661C">
      <w:pPr>
        <w:pStyle w:val="ListParagraph"/>
        <w:numPr>
          <w:ilvl w:val="0"/>
          <w:numId w:val="14"/>
        </w:numPr>
        <w:autoSpaceDE w:val="0"/>
        <w:autoSpaceDN w:val="0"/>
        <w:bidi w:val="0"/>
        <w:adjustRightInd w:val="0"/>
        <w:spacing w:after="0" w:line="240" w:lineRule="auto"/>
        <w:ind w:left="360" w:hanging="27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Diagnosis of ARDS (PaO2/FIO2 ratio</w:t>
      </w:r>
      <w:r w:rsidRPr="0057661C">
        <w:rPr>
          <w:rFonts w:asciiTheme="majorBidi" w:eastAsiaTheme="minorHAnsi" w:hAnsiTheme="majorBidi" w:cstheme="majorBidi"/>
          <w:sz w:val="20"/>
          <w:szCs w:val="20"/>
          <w:rtl/>
          <w:lang w:bidi="ar-EG"/>
        </w:rPr>
        <w:t xml:space="preserve"> )</w:t>
      </w:r>
    </w:p>
    <w:p w14:paraId="33B09EE8" w14:textId="128F2F98" w:rsidR="00174BC0" w:rsidRPr="0057661C" w:rsidRDefault="00174BC0" w:rsidP="0057661C">
      <w:pPr>
        <w:pStyle w:val="ListParagraph"/>
        <w:numPr>
          <w:ilvl w:val="0"/>
          <w:numId w:val="14"/>
        </w:numPr>
        <w:autoSpaceDE w:val="0"/>
        <w:autoSpaceDN w:val="0"/>
        <w:bidi w:val="0"/>
        <w:adjustRightInd w:val="0"/>
        <w:spacing w:after="0" w:line="240" w:lineRule="auto"/>
        <w:ind w:left="360" w:hanging="27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Type of ventilation (Nasal oxygen, Noninvasive ventilation, Intubation</w:t>
      </w:r>
      <w:r w:rsidRPr="0057661C">
        <w:rPr>
          <w:rFonts w:asciiTheme="majorBidi" w:eastAsiaTheme="minorHAnsi" w:hAnsiTheme="majorBidi" w:cstheme="majorBidi"/>
          <w:sz w:val="20"/>
          <w:szCs w:val="20"/>
          <w:rtl/>
          <w:lang w:bidi="ar-EG"/>
        </w:rPr>
        <w:t xml:space="preserve"> ).</w:t>
      </w:r>
    </w:p>
    <w:p w14:paraId="0CE7657A" w14:textId="57645F56" w:rsidR="00174BC0" w:rsidRPr="00EE4380" w:rsidRDefault="00174BC0" w:rsidP="00FE52D8">
      <w:pPr>
        <w:pStyle w:val="ListParagraph"/>
        <w:numPr>
          <w:ilvl w:val="0"/>
          <w:numId w:val="14"/>
        </w:numPr>
        <w:autoSpaceDE w:val="0"/>
        <w:autoSpaceDN w:val="0"/>
        <w:bidi w:val="0"/>
        <w:adjustRightInd w:val="0"/>
        <w:spacing w:after="0" w:line="240" w:lineRule="auto"/>
        <w:ind w:left="360" w:hanging="270"/>
        <w:contextualSpacing w:val="0"/>
        <w:jc w:val="both"/>
        <w:rPr>
          <w:rFonts w:asciiTheme="majorBidi" w:eastAsiaTheme="minorHAnsi" w:hAnsiTheme="majorBidi" w:cstheme="majorBidi"/>
          <w:sz w:val="20"/>
          <w:szCs w:val="20"/>
          <w:lang w:bidi="ar-EG"/>
        </w:rPr>
      </w:pPr>
      <w:r w:rsidRPr="00EE4380">
        <w:rPr>
          <w:rFonts w:asciiTheme="majorBidi" w:eastAsiaTheme="minorHAnsi" w:hAnsiTheme="majorBidi" w:cstheme="majorBidi"/>
          <w:sz w:val="20"/>
          <w:szCs w:val="20"/>
          <w:lang w:bidi="ar-EG"/>
        </w:rPr>
        <w:t>Investigations</w:t>
      </w:r>
      <w:r w:rsidRPr="00EE4380">
        <w:rPr>
          <w:rFonts w:asciiTheme="majorBidi" w:eastAsiaTheme="minorHAnsi" w:hAnsiTheme="majorBidi" w:cstheme="majorBidi"/>
          <w:sz w:val="20"/>
          <w:szCs w:val="20"/>
          <w:rtl/>
          <w:lang w:bidi="ar-EG"/>
        </w:rPr>
        <w:t>:</w:t>
      </w:r>
      <w:r w:rsidR="00EE4380" w:rsidRPr="00EE4380">
        <w:rPr>
          <w:rFonts w:asciiTheme="majorBidi" w:eastAsiaTheme="minorHAnsi" w:hAnsiTheme="majorBidi" w:cstheme="majorBidi"/>
          <w:sz w:val="20"/>
          <w:szCs w:val="20"/>
          <w:lang w:bidi="ar-EG"/>
        </w:rPr>
        <w:t xml:space="preserve"> </w:t>
      </w:r>
      <w:r w:rsidRPr="00EE4380">
        <w:rPr>
          <w:rFonts w:asciiTheme="majorBidi" w:eastAsiaTheme="minorHAnsi" w:hAnsiTheme="majorBidi" w:cstheme="majorBidi"/>
          <w:sz w:val="20"/>
          <w:szCs w:val="20"/>
          <w:lang w:bidi="ar-EG"/>
        </w:rPr>
        <w:t xml:space="preserve">Laboratory investigations: including Cardiac troponin I, </w:t>
      </w:r>
      <w:r w:rsidR="00C74671" w:rsidRPr="00EE4380">
        <w:rPr>
          <w:rFonts w:asciiTheme="majorBidi" w:eastAsiaTheme="minorHAnsi" w:hAnsiTheme="majorBidi" w:cstheme="majorBidi"/>
          <w:sz w:val="20"/>
          <w:szCs w:val="20"/>
          <w:lang w:bidi="ar-EG"/>
        </w:rPr>
        <w:t>Serum creatinine,</w:t>
      </w:r>
      <w:r w:rsidR="00C74671">
        <w:rPr>
          <w:rFonts w:asciiTheme="majorBidi" w:eastAsiaTheme="minorHAnsi" w:hAnsiTheme="majorBidi" w:cstheme="majorBidi"/>
          <w:sz w:val="20"/>
          <w:szCs w:val="20"/>
          <w:lang w:bidi="ar-EG"/>
        </w:rPr>
        <w:t xml:space="preserve"> </w:t>
      </w:r>
      <w:r w:rsidRPr="00EE4380">
        <w:rPr>
          <w:rFonts w:asciiTheme="majorBidi" w:eastAsiaTheme="minorHAnsi" w:hAnsiTheme="majorBidi" w:cstheme="majorBidi"/>
          <w:sz w:val="20"/>
          <w:szCs w:val="20"/>
          <w:lang w:bidi="ar-EG"/>
        </w:rPr>
        <w:t>D-dimer, C-reactive protein</w:t>
      </w:r>
      <w:r w:rsidRPr="00EE4380">
        <w:rPr>
          <w:rFonts w:asciiTheme="majorBidi" w:eastAsiaTheme="minorHAnsi" w:hAnsiTheme="majorBidi" w:cstheme="majorBidi"/>
          <w:sz w:val="20"/>
          <w:szCs w:val="20"/>
          <w:rtl/>
          <w:lang w:bidi="ar-EG"/>
        </w:rPr>
        <w:t xml:space="preserve"> .</w:t>
      </w:r>
    </w:p>
    <w:p w14:paraId="3F9DDB30" w14:textId="73DF44EE" w:rsidR="00174BC0" w:rsidRPr="0057661C" w:rsidRDefault="00174BC0" w:rsidP="0057661C">
      <w:pPr>
        <w:pStyle w:val="ListParagraph"/>
        <w:numPr>
          <w:ilvl w:val="0"/>
          <w:numId w:val="14"/>
        </w:numPr>
        <w:autoSpaceDE w:val="0"/>
        <w:autoSpaceDN w:val="0"/>
        <w:bidi w:val="0"/>
        <w:adjustRightInd w:val="0"/>
        <w:spacing w:after="0" w:line="240" w:lineRule="auto"/>
        <w:ind w:left="360" w:hanging="27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Trans Thoracic ECHO:  for assessment of TAPSE \ PASP ratio, LVEDD , LVESD , LVEF , LA volume index,  degree of tricusbid regurge ).</w:t>
      </w:r>
    </w:p>
    <w:p w14:paraId="02686099" w14:textId="25CB9053" w:rsidR="0025251B" w:rsidRPr="0057661C" w:rsidRDefault="00FB7FBB" w:rsidP="0057661C">
      <w:pPr>
        <w:autoSpaceDE w:val="0"/>
        <w:autoSpaceDN w:val="0"/>
        <w:bidi w:val="0"/>
        <w:adjustRightInd w:val="0"/>
        <w:spacing w:after="0" w:line="240" w:lineRule="auto"/>
        <w:jc w:val="both"/>
        <w:rPr>
          <w:rFonts w:asciiTheme="majorBidi" w:eastAsiaTheme="minorHAnsi" w:hAnsiTheme="majorBidi" w:cstheme="majorBidi"/>
          <w:b/>
          <w:bCs/>
          <w:sz w:val="20"/>
          <w:szCs w:val="20"/>
        </w:rPr>
      </w:pPr>
      <w:r w:rsidRPr="0057661C">
        <w:rPr>
          <w:rFonts w:asciiTheme="majorBidi" w:eastAsiaTheme="minorHAnsi" w:hAnsiTheme="majorBidi" w:cstheme="majorBidi"/>
          <w:b/>
          <w:bCs/>
          <w:sz w:val="20"/>
          <w:szCs w:val="20"/>
        </w:rPr>
        <w:t>2.6 Statistical analysis:</w:t>
      </w:r>
    </w:p>
    <w:p w14:paraId="06FBF95B" w14:textId="52FB04D9" w:rsidR="00816D20" w:rsidRPr="0057661C" w:rsidRDefault="00B22AB7" w:rsidP="00F84607">
      <w:pPr>
        <w:pStyle w:val="NoSpacing"/>
      </w:pPr>
      <w:r>
        <w:t xml:space="preserve">Using the Kolmogorov-Smirnov test, the distribution of variables was examined. </w:t>
      </w:r>
      <w:r>
        <w:lastRenderedPageBreak/>
        <w:t>Continuous data with a normal distribution were represented by mean SD, whereas skewed continuous variables were represented by median and IQR. Variables representing categories like counts and percentages. Both paired and unpaired data were analyzed using two-tailed t-tests to determine group differences. Using regression analysis and Pearson's partial correlation test, the relationships between variables were investigated. To assess the relationship between the covariates and the result, which was mortality, Cox proportional hazard regression analysis were undertaken. Utilizing univariate and multivariate linear models, we identified potential outcome determinants.</w:t>
      </w:r>
    </w:p>
    <w:p w14:paraId="0B99DAAC" w14:textId="77777777" w:rsidR="00816D20" w:rsidRPr="0057661C" w:rsidRDefault="00816D20" w:rsidP="0057661C">
      <w:pPr>
        <w:bidi w:val="0"/>
        <w:spacing w:after="0" w:line="240" w:lineRule="auto"/>
        <w:jc w:val="both"/>
        <w:rPr>
          <w:rFonts w:asciiTheme="majorBidi" w:eastAsiaTheme="minorHAnsi" w:hAnsiTheme="majorBidi" w:cstheme="majorBidi"/>
          <w:b/>
          <w:bCs/>
          <w:sz w:val="20"/>
          <w:szCs w:val="20"/>
        </w:rPr>
      </w:pPr>
      <w:r w:rsidRPr="0057661C">
        <w:rPr>
          <w:rFonts w:asciiTheme="majorBidi" w:eastAsiaTheme="minorHAnsi" w:hAnsiTheme="majorBidi" w:cstheme="majorBidi"/>
          <w:b/>
          <w:bCs/>
          <w:sz w:val="20"/>
          <w:szCs w:val="20"/>
        </w:rPr>
        <w:t>3.Results and discussion</w:t>
      </w:r>
    </w:p>
    <w:p w14:paraId="7F53863B" w14:textId="43C49417" w:rsidR="00816D20" w:rsidRPr="0057661C" w:rsidRDefault="001030F3" w:rsidP="0057661C">
      <w:pPr>
        <w:bidi w:val="0"/>
        <w:spacing w:after="0" w:line="240" w:lineRule="auto"/>
        <w:ind w:firstLine="360"/>
        <w:jc w:val="both"/>
        <w:rPr>
          <w:rFonts w:asciiTheme="majorBidi" w:eastAsiaTheme="minorHAnsi" w:hAnsiTheme="majorBidi" w:cstheme="majorBidi"/>
          <w:sz w:val="20"/>
          <w:szCs w:val="20"/>
        </w:rPr>
      </w:pPr>
      <w:r>
        <w:rPr>
          <w:rFonts w:asciiTheme="majorBidi" w:eastAsiaTheme="minorHAnsi" w:hAnsiTheme="majorBidi" w:cstheme="majorBidi"/>
          <w:sz w:val="20"/>
          <w:szCs w:val="20"/>
        </w:rPr>
        <w:t>The patient group was largely older and male, with a significant frequency of pulmonary comorbidities and cardiovascular risk factors, as shown in Table 1. Non-survivors were six years older than survivors on average and had greater rates of smoking and obesity. In addition, non-survivors displayed higher cardiac troponin I, blood creatinine, and CRP levels, as well as poorer PaO2/FIO2 ratios.</w:t>
      </w:r>
      <w:r w:rsidR="00C94064" w:rsidRPr="00C94064">
        <w:rPr>
          <w:rFonts w:asciiTheme="majorBidi" w:eastAsiaTheme="minorHAnsi" w:hAnsiTheme="majorBidi" w:cstheme="majorBidi"/>
          <w:sz w:val="20"/>
          <w:szCs w:val="20"/>
        </w:rPr>
        <w:t xml:space="preserve"> Table 2 summarizes the echocardiographic findings, demonstrating a significant increase in PASP and a decrease in the TAPSE/PASP ratio in non-survivors compared to survivors. Univariate analysis revealed significant associations between most biological and echocardiographic differences and survival, as shown in Table 3. However, in multivariate analysis, only the PaO2/FIO2 ratio and TAPSE/PASP ratio were identified as independent predictors of outcome, as indicated in Table 3.</w:t>
      </w:r>
    </w:p>
    <w:p w14:paraId="00D22F00" w14:textId="52F598F5" w:rsidR="0057661C" w:rsidRDefault="001030F3" w:rsidP="0057661C">
      <w:pPr>
        <w:bidi w:val="0"/>
        <w:spacing w:after="0" w:line="240" w:lineRule="auto"/>
        <w:ind w:firstLine="360"/>
        <w:jc w:val="both"/>
        <w:rPr>
          <w:rFonts w:asciiTheme="majorBidi" w:eastAsiaTheme="minorHAnsi" w:hAnsiTheme="majorBidi" w:cstheme="majorBidi"/>
          <w:sz w:val="20"/>
          <w:szCs w:val="20"/>
        </w:rPr>
      </w:pPr>
      <w:r>
        <w:rPr>
          <w:rFonts w:asciiTheme="majorBidi" w:eastAsiaTheme="minorHAnsi" w:hAnsiTheme="majorBidi" w:cstheme="majorBidi"/>
          <w:sz w:val="20"/>
          <w:szCs w:val="20"/>
        </w:rPr>
        <w:t xml:space="preserve">The results reveal an early and considerable dissociation between right ventricular function and pulmonary circulation in COVID-19-induced ARDS. In addition to the PaO2/FIO2 ratio, the TAPSE/PASP ratio has prognostic value in these individuals. As shown by echocardiographic assessments of PASP, the pulmonary hypertension seen in this investigation was mostly mild to moderate in severity. Notable is that a PASP of 40 mmHg </w:t>
      </w:r>
      <w:r>
        <w:rPr>
          <w:rFonts w:asciiTheme="majorBidi" w:eastAsiaTheme="minorHAnsi" w:hAnsiTheme="majorBidi" w:cstheme="majorBidi"/>
          <w:sz w:val="20"/>
          <w:szCs w:val="20"/>
        </w:rPr>
        <w:t xml:space="preserve">in non-survivors would still fall within the normal upper range after adjusting for age, gender, and body weight. In addition, TAPSE levels in non-survivors remained above the normal lower limit despite a decline </w:t>
      </w:r>
      <w:r w:rsidR="00C94064" w:rsidRPr="00C94064">
        <w:rPr>
          <w:rFonts w:asciiTheme="majorBidi" w:eastAsiaTheme="minorHAnsi" w:hAnsiTheme="majorBidi" w:cstheme="majorBidi"/>
          <w:sz w:val="20"/>
          <w:szCs w:val="20"/>
        </w:rPr>
        <w:t>[5].</w:t>
      </w:r>
      <w:r w:rsidR="0053384F" w:rsidRPr="0057661C">
        <w:rPr>
          <w:rFonts w:asciiTheme="majorBidi" w:eastAsiaTheme="minorHAnsi" w:hAnsiTheme="majorBidi" w:cstheme="majorBidi"/>
          <w:sz w:val="20"/>
          <w:szCs w:val="20"/>
        </w:rPr>
        <w:t xml:space="preserve"> </w:t>
      </w:r>
      <w:r w:rsidR="00C94064" w:rsidRPr="00C94064">
        <w:rPr>
          <w:rFonts w:asciiTheme="majorBidi" w:eastAsiaTheme="minorHAnsi" w:hAnsiTheme="majorBidi" w:cstheme="majorBidi"/>
          <w:sz w:val="20"/>
          <w:szCs w:val="20"/>
        </w:rPr>
        <w:t xml:space="preserve">In accordance with previous studies, survivors demonstrated a slight decrease in the TAPSE/PASP ratio, with a value of 0.89 ± 0.29. This finding is consistent with a study involving 209 individuals aged over 60, where the TAPSE/PASP ratio was reported as 1.11 ± 0.03 [5]. Conversely, non-survivors exhibited a significant reduction in the TAPSE/PASP ratio, measuring at 0.51 ± 0.22 mm/mmHg. </w:t>
      </w:r>
      <w:r w:rsidR="00BB48EA">
        <w:rPr>
          <w:rFonts w:asciiTheme="majorBidi" w:eastAsiaTheme="minorHAnsi" w:hAnsiTheme="majorBidi" w:cstheme="majorBidi"/>
          <w:sz w:val="20"/>
          <w:szCs w:val="20"/>
        </w:rPr>
        <w:t xml:space="preserve">These values are near or below the 0.50 mm/mmHg threshold, which has previously been associated with a poor prognosis in heart failure and severe pulmonary hypertension </w:t>
      </w:r>
      <w:r w:rsidR="00C94064" w:rsidRPr="00C94064">
        <w:rPr>
          <w:rFonts w:asciiTheme="majorBidi" w:eastAsiaTheme="minorHAnsi" w:hAnsiTheme="majorBidi" w:cstheme="majorBidi"/>
          <w:sz w:val="20"/>
          <w:szCs w:val="20"/>
        </w:rPr>
        <w:t>[6].</w:t>
      </w:r>
      <w:r w:rsidR="0053384F" w:rsidRPr="0057661C">
        <w:rPr>
          <w:rFonts w:asciiTheme="majorBidi" w:eastAsiaTheme="minorHAnsi" w:hAnsiTheme="majorBidi" w:cstheme="majorBidi"/>
          <w:sz w:val="20"/>
          <w:szCs w:val="20"/>
        </w:rPr>
        <w:t xml:space="preserve">      </w:t>
      </w:r>
    </w:p>
    <w:p w14:paraId="1B8CBA42" w14:textId="2F8A3264" w:rsidR="0057661C" w:rsidRPr="00D44A74" w:rsidRDefault="00BB48EA" w:rsidP="00D44A74">
      <w:pPr>
        <w:bidi w:val="0"/>
        <w:spacing w:after="0" w:line="240" w:lineRule="auto"/>
        <w:ind w:firstLine="360"/>
        <w:jc w:val="both"/>
        <w:rPr>
          <w:rFonts w:asciiTheme="majorBidi" w:eastAsiaTheme="minorHAnsi" w:hAnsiTheme="majorBidi" w:cstheme="majorBidi"/>
          <w:sz w:val="20"/>
          <w:szCs w:val="20"/>
        </w:rPr>
        <w:sectPr w:rsidR="0057661C" w:rsidRPr="00D44A74" w:rsidSect="0057661C">
          <w:type w:val="continuous"/>
          <w:pgSz w:w="11906" w:h="16838"/>
          <w:pgMar w:top="1440" w:right="1800" w:bottom="1440" w:left="1800" w:header="720" w:footer="720" w:gutter="0"/>
          <w:pgNumType w:start="1"/>
          <w:cols w:num="2" w:space="706"/>
          <w:titlePg/>
          <w:rtlGutter/>
          <w:docGrid w:linePitch="360"/>
        </w:sectPr>
      </w:pPr>
      <w:r>
        <w:rPr>
          <w:rFonts w:asciiTheme="majorBidi" w:eastAsiaTheme="minorHAnsi" w:hAnsiTheme="majorBidi" w:cstheme="majorBidi"/>
          <w:sz w:val="20"/>
          <w:szCs w:val="20"/>
        </w:rPr>
        <w:t>Recent research involving 200 hospitalized COVID-19 patients in non-ICU departments revealed that 12.5% of patients had a PASP greater than 35 mmHg, while 14.5% had a TAPSE 17 mm.</w:t>
      </w:r>
      <w:r w:rsidR="003264B6" w:rsidRPr="003264B6">
        <w:rPr>
          <w:rFonts w:asciiTheme="majorBidi" w:eastAsiaTheme="minorHAnsi" w:hAnsiTheme="majorBidi" w:cstheme="majorBidi"/>
          <w:sz w:val="20"/>
          <w:szCs w:val="20"/>
        </w:rPr>
        <w:t xml:space="preserve"> Interestingly, the study revealed that an elevated PASP, rather than a decreased TAPSE, was indicative of an unfavorable outcome [7]. </w:t>
      </w:r>
      <w:r>
        <w:rPr>
          <w:rFonts w:asciiTheme="majorBidi" w:eastAsiaTheme="minorHAnsi" w:hAnsiTheme="majorBidi" w:cstheme="majorBidi"/>
          <w:sz w:val="20"/>
          <w:szCs w:val="20"/>
        </w:rPr>
        <w:t xml:space="preserve">The TAPSE/PASP ratio was first designed as a measurement for assessing the relationship between RV myocardial length and tension, and it has shown predictive utility in cases of heart failure </w:t>
      </w:r>
      <w:r w:rsidR="003264B6" w:rsidRPr="003264B6">
        <w:rPr>
          <w:rFonts w:asciiTheme="majorBidi" w:eastAsiaTheme="minorHAnsi" w:hAnsiTheme="majorBidi" w:cstheme="majorBidi"/>
          <w:sz w:val="20"/>
          <w:szCs w:val="20"/>
        </w:rPr>
        <w:t xml:space="preserve">[7]. </w:t>
      </w:r>
      <w:r>
        <w:rPr>
          <w:rFonts w:asciiTheme="majorBidi" w:eastAsiaTheme="minorHAnsi" w:hAnsiTheme="majorBidi" w:cstheme="majorBidi"/>
          <w:sz w:val="20"/>
          <w:szCs w:val="20"/>
        </w:rPr>
        <w:t>Subsequent research has confirmed its prognostic importance not only in heart failure [8], but also in pulmonary arterial hypertension [9] and in patients with chronic lung diseases [10]. TAPSE served as a load-dependent surrogate for end-systolic elastance (Ees) in these investigations [8-10], while PASP provided an indirect estimate of arterial elastance (Ea).</w:t>
      </w:r>
      <w:r w:rsidR="00EE4380">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rPr>
        <w:t>When assessing the coupling between the RV and PA, the TAPSE/PASP ratio has been shown to be a superior indicator compared to other composite echocardiographic indices. Studies have shown a high connection between the TAPSE/PASP ratio and invasive measures, the gold standard [11].</w:t>
      </w:r>
      <w:r w:rsidR="003264B6" w:rsidRPr="003264B6">
        <w:rPr>
          <w:rFonts w:asciiTheme="majorBidi" w:eastAsiaTheme="minorHAnsi" w:hAnsiTheme="majorBidi" w:cstheme="majorBidi"/>
          <w:sz w:val="20"/>
          <w:szCs w:val="20"/>
        </w:rPr>
        <w:t xml:space="preserve"> Additionally, this ratio has also been found to correlate with indirectly assessed ratios of Ees to arterial Ea [8].</w:t>
      </w:r>
    </w:p>
    <w:p w14:paraId="0F4D4FDC" w14:textId="55B5A3D4" w:rsidR="0057661C" w:rsidRDefault="0057661C">
      <w:pPr>
        <w:bidi w:val="0"/>
        <w:rPr>
          <w:rFonts w:asciiTheme="majorBidi" w:eastAsia="Calibri" w:hAnsiTheme="majorBidi" w:cstheme="majorBidi"/>
          <w:b/>
          <w:bCs/>
          <w:sz w:val="20"/>
          <w:szCs w:val="20"/>
        </w:rPr>
      </w:pPr>
    </w:p>
    <w:p w14:paraId="41F69284" w14:textId="77777777" w:rsidR="00C94064" w:rsidRDefault="00C94064">
      <w:pPr>
        <w:bidi w:val="0"/>
        <w:rPr>
          <w:rFonts w:asciiTheme="majorBidi" w:eastAsia="Calibri" w:hAnsiTheme="majorBidi" w:cstheme="majorBidi"/>
          <w:b/>
          <w:bCs/>
          <w:sz w:val="20"/>
          <w:szCs w:val="20"/>
        </w:rPr>
      </w:pPr>
      <w:bookmarkStart w:id="0" w:name="_Hlk133861010"/>
      <w:r>
        <w:rPr>
          <w:rFonts w:asciiTheme="majorBidi" w:eastAsia="Calibri" w:hAnsiTheme="majorBidi" w:cstheme="majorBidi"/>
          <w:b/>
          <w:bCs/>
          <w:sz w:val="20"/>
          <w:szCs w:val="20"/>
        </w:rPr>
        <w:br w:type="page"/>
      </w:r>
    </w:p>
    <w:p w14:paraId="169D769B" w14:textId="77777777" w:rsidR="00B424FD" w:rsidRPr="00B424FD" w:rsidRDefault="00B424FD" w:rsidP="00B424FD">
      <w:pPr>
        <w:bidi w:val="0"/>
        <w:spacing w:after="0" w:line="240" w:lineRule="auto"/>
        <w:rPr>
          <w:rFonts w:asciiTheme="majorBidi" w:hAnsiTheme="majorBidi" w:cstheme="majorBidi"/>
          <w:b/>
          <w:bCs/>
          <w:sz w:val="20"/>
          <w:szCs w:val="20"/>
        </w:rPr>
      </w:pPr>
      <w:r w:rsidRPr="00B424FD">
        <w:rPr>
          <w:rFonts w:asciiTheme="majorBidi" w:hAnsiTheme="majorBidi" w:cstheme="majorBidi"/>
          <w:b/>
          <w:bCs/>
          <w:sz w:val="20"/>
          <w:szCs w:val="20"/>
        </w:rPr>
        <w:lastRenderedPageBreak/>
        <w:t>Table 1 Comparison  between  alive  and  dead  patients affected by COVID-19</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gridCol w:w="1465"/>
        <w:gridCol w:w="1937"/>
        <w:gridCol w:w="1622"/>
      </w:tblGrid>
      <w:tr w:rsidR="00B424FD" w:rsidRPr="00B424FD" w14:paraId="571A5BB8" w14:textId="77777777" w:rsidTr="00B424FD">
        <w:trPr>
          <w:jc w:val="center"/>
        </w:trPr>
        <w:tc>
          <w:tcPr>
            <w:tcW w:w="8550" w:type="dxa"/>
            <w:gridSpan w:val="4"/>
            <w:hideMark/>
          </w:tcPr>
          <w:p w14:paraId="31DBC4D1" w14:textId="77777777" w:rsidR="00B424FD" w:rsidRPr="00B424FD" w:rsidRDefault="00B424FD" w:rsidP="00B424FD">
            <w:pPr>
              <w:pBdr>
                <w:top w:val="single" w:sz="4" w:space="1" w:color="auto"/>
                <w:bottom w:val="single" w:sz="4" w:space="0" w:color="auto"/>
              </w:pBdr>
              <w:bidi w:val="0"/>
              <w:rPr>
                <w:rFonts w:asciiTheme="majorBidi" w:hAnsiTheme="majorBidi" w:cstheme="majorBidi"/>
                <w:sz w:val="20"/>
                <w:szCs w:val="20"/>
              </w:rPr>
            </w:pPr>
            <w:r w:rsidRPr="00B424FD">
              <w:rPr>
                <w:rFonts w:asciiTheme="majorBidi" w:hAnsiTheme="majorBidi" w:cstheme="majorBidi"/>
                <w:sz w:val="20"/>
                <w:szCs w:val="20"/>
              </w:rPr>
              <w:t xml:space="preserve">                                                         Alive (n = 69)  Dead (n = 25)  p   </w:t>
            </w:r>
          </w:p>
        </w:tc>
      </w:tr>
      <w:tr w:rsidR="00B424FD" w:rsidRPr="00B424FD" w14:paraId="74C07082" w14:textId="77777777" w:rsidTr="00B424FD">
        <w:trPr>
          <w:jc w:val="center"/>
        </w:trPr>
        <w:tc>
          <w:tcPr>
            <w:tcW w:w="3526" w:type="dxa"/>
            <w:hideMark/>
          </w:tcPr>
          <w:p w14:paraId="293D7AD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Age (year)</w:t>
            </w:r>
          </w:p>
        </w:tc>
        <w:tc>
          <w:tcPr>
            <w:tcW w:w="1465" w:type="dxa"/>
            <w:hideMark/>
          </w:tcPr>
          <w:p w14:paraId="369F1BAB"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62 ± 13</w:t>
            </w:r>
          </w:p>
        </w:tc>
        <w:tc>
          <w:tcPr>
            <w:tcW w:w="1937" w:type="dxa"/>
            <w:hideMark/>
          </w:tcPr>
          <w:p w14:paraId="10F54F7B"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68 ± 12</w:t>
            </w:r>
          </w:p>
        </w:tc>
        <w:tc>
          <w:tcPr>
            <w:tcW w:w="1622" w:type="dxa"/>
            <w:hideMark/>
          </w:tcPr>
          <w:p w14:paraId="2DF6EBCA"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0.033</w:t>
            </w:r>
          </w:p>
        </w:tc>
      </w:tr>
      <w:tr w:rsidR="00B424FD" w:rsidRPr="00B424FD" w14:paraId="56332819" w14:textId="77777777" w:rsidTr="00B424FD">
        <w:trPr>
          <w:jc w:val="center"/>
        </w:trPr>
        <w:tc>
          <w:tcPr>
            <w:tcW w:w="3526" w:type="dxa"/>
            <w:hideMark/>
          </w:tcPr>
          <w:p w14:paraId="15A91A0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Sex M (%)</w:t>
            </w:r>
          </w:p>
        </w:tc>
        <w:tc>
          <w:tcPr>
            <w:tcW w:w="1465" w:type="dxa"/>
            <w:hideMark/>
          </w:tcPr>
          <w:p w14:paraId="13590AB7"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53 (77)</w:t>
            </w:r>
          </w:p>
        </w:tc>
        <w:tc>
          <w:tcPr>
            <w:tcW w:w="1937" w:type="dxa"/>
            <w:hideMark/>
          </w:tcPr>
          <w:p w14:paraId="59FCC57A"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17 (68)</w:t>
            </w:r>
          </w:p>
        </w:tc>
        <w:tc>
          <w:tcPr>
            <w:tcW w:w="1622" w:type="dxa"/>
            <w:hideMark/>
          </w:tcPr>
          <w:p w14:paraId="5130BF9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0.549</w:t>
            </w:r>
          </w:p>
        </w:tc>
      </w:tr>
      <w:tr w:rsidR="00B424FD" w:rsidRPr="00B424FD" w14:paraId="3AE770E4" w14:textId="77777777" w:rsidTr="00B424FD">
        <w:trPr>
          <w:jc w:val="center"/>
        </w:trPr>
        <w:tc>
          <w:tcPr>
            <w:tcW w:w="3526" w:type="dxa"/>
            <w:hideMark/>
          </w:tcPr>
          <w:p w14:paraId="039626EB"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Disease duration (day)</w:t>
            </w:r>
          </w:p>
        </w:tc>
        <w:tc>
          <w:tcPr>
            <w:tcW w:w="1465" w:type="dxa"/>
            <w:hideMark/>
          </w:tcPr>
          <w:p w14:paraId="325FC51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7.7 ± 3.3</w:t>
            </w:r>
          </w:p>
        </w:tc>
        <w:tc>
          <w:tcPr>
            <w:tcW w:w="1937" w:type="dxa"/>
            <w:hideMark/>
          </w:tcPr>
          <w:p w14:paraId="1F17B96D"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7.7 ± 3.1</w:t>
            </w:r>
          </w:p>
        </w:tc>
        <w:tc>
          <w:tcPr>
            <w:tcW w:w="1622" w:type="dxa"/>
            <w:hideMark/>
          </w:tcPr>
          <w:p w14:paraId="6C31506E"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0.942</w:t>
            </w:r>
          </w:p>
        </w:tc>
      </w:tr>
      <w:tr w:rsidR="00B424FD" w:rsidRPr="00B424FD" w14:paraId="746D454F" w14:textId="77777777" w:rsidTr="00B424FD">
        <w:trPr>
          <w:jc w:val="center"/>
        </w:trPr>
        <w:tc>
          <w:tcPr>
            <w:tcW w:w="3526" w:type="dxa"/>
            <w:hideMark/>
          </w:tcPr>
          <w:p w14:paraId="5BE2A814"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Lung disease (%)</w:t>
            </w:r>
          </w:p>
        </w:tc>
        <w:tc>
          <w:tcPr>
            <w:tcW w:w="1465" w:type="dxa"/>
            <w:hideMark/>
          </w:tcPr>
          <w:p w14:paraId="2156EB86"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17 (25)</w:t>
            </w:r>
          </w:p>
        </w:tc>
        <w:tc>
          <w:tcPr>
            <w:tcW w:w="1937" w:type="dxa"/>
            <w:hideMark/>
          </w:tcPr>
          <w:p w14:paraId="1E962882"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11 (44)</w:t>
            </w:r>
          </w:p>
        </w:tc>
        <w:tc>
          <w:tcPr>
            <w:tcW w:w="1622" w:type="dxa"/>
            <w:hideMark/>
          </w:tcPr>
          <w:p w14:paraId="019CB8E1"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0.079</w:t>
            </w:r>
          </w:p>
        </w:tc>
      </w:tr>
      <w:tr w:rsidR="00B424FD" w:rsidRPr="00B424FD" w14:paraId="71592387" w14:textId="77777777" w:rsidTr="00B424FD">
        <w:trPr>
          <w:jc w:val="center"/>
        </w:trPr>
        <w:tc>
          <w:tcPr>
            <w:tcW w:w="3526" w:type="dxa"/>
            <w:hideMark/>
          </w:tcPr>
          <w:p w14:paraId="1F08E30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Coronary artery disease (%)</w:t>
            </w:r>
          </w:p>
        </w:tc>
        <w:tc>
          <w:tcPr>
            <w:tcW w:w="1465" w:type="dxa"/>
            <w:hideMark/>
          </w:tcPr>
          <w:p w14:paraId="32FA8E8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14 (20)</w:t>
            </w:r>
          </w:p>
        </w:tc>
        <w:tc>
          <w:tcPr>
            <w:tcW w:w="1937" w:type="dxa"/>
            <w:hideMark/>
          </w:tcPr>
          <w:p w14:paraId="513AF56F"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3 (12)</w:t>
            </w:r>
          </w:p>
        </w:tc>
        <w:tc>
          <w:tcPr>
            <w:tcW w:w="1622" w:type="dxa"/>
            <w:hideMark/>
          </w:tcPr>
          <w:p w14:paraId="5DE69118"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0.545</w:t>
            </w:r>
          </w:p>
        </w:tc>
      </w:tr>
      <w:tr w:rsidR="00B424FD" w:rsidRPr="00B424FD" w14:paraId="02B55AA4" w14:textId="77777777" w:rsidTr="00B424FD">
        <w:trPr>
          <w:jc w:val="center"/>
        </w:trPr>
        <w:tc>
          <w:tcPr>
            <w:tcW w:w="3526" w:type="dxa"/>
            <w:hideMark/>
          </w:tcPr>
          <w:p w14:paraId="03B4DBC5"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Cardiovascular comorbidities</w:t>
            </w:r>
          </w:p>
        </w:tc>
        <w:tc>
          <w:tcPr>
            <w:tcW w:w="1465" w:type="dxa"/>
          </w:tcPr>
          <w:p w14:paraId="4C5FD36E" w14:textId="77777777" w:rsidR="00B424FD" w:rsidRPr="00B424FD" w:rsidRDefault="00B424FD" w:rsidP="00B424FD">
            <w:pPr>
              <w:bidi w:val="0"/>
              <w:rPr>
                <w:rFonts w:asciiTheme="majorBidi" w:hAnsiTheme="majorBidi" w:cstheme="majorBidi"/>
                <w:sz w:val="20"/>
                <w:szCs w:val="20"/>
              </w:rPr>
            </w:pPr>
          </w:p>
        </w:tc>
        <w:tc>
          <w:tcPr>
            <w:tcW w:w="1937" w:type="dxa"/>
          </w:tcPr>
          <w:p w14:paraId="133F0C03" w14:textId="77777777" w:rsidR="00B424FD" w:rsidRPr="00B424FD" w:rsidRDefault="00B424FD" w:rsidP="00B424FD">
            <w:pPr>
              <w:bidi w:val="0"/>
              <w:rPr>
                <w:rFonts w:asciiTheme="majorBidi" w:hAnsiTheme="majorBidi" w:cstheme="majorBidi"/>
                <w:sz w:val="20"/>
                <w:szCs w:val="20"/>
              </w:rPr>
            </w:pPr>
          </w:p>
        </w:tc>
        <w:tc>
          <w:tcPr>
            <w:tcW w:w="1622" w:type="dxa"/>
          </w:tcPr>
          <w:p w14:paraId="74BC9BE3" w14:textId="77777777" w:rsidR="00B424FD" w:rsidRPr="00B424FD" w:rsidRDefault="00B424FD" w:rsidP="00B424FD">
            <w:pPr>
              <w:bidi w:val="0"/>
              <w:rPr>
                <w:rFonts w:asciiTheme="majorBidi" w:hAnsiTheme="majorBidi" w:cstheme="majorBidi"/>
                <w:sz w:val="20"/>
                <w:szCs w:val="20"/>
              </w:rPr>
            </w:pPr>
          </w:p>
        </w:tc>
      </w:tr>
      <w:tr w:rsidR="00B424FD" w:rsidRPr="00B424FD" w14:paraId="56985873" w14:textId="77777777" w:rsidTr="00B424FD">
        <w:trPr>
          <w:jc w:val="center"/>
        </w:trPr>
        <w:tc>
          <w:tcPr>
            <w:tcW w:w="3526" w:type="dxa"/>
            <w:hideMark/>
          </w:tcPr>
          <w:p w14:paraId="0262ECC5"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Hypertension (%)</w:t>
            </w:r>
          </w:p>
        </w:tc>
        <w:tc>
          <w:tcPr>
            <w:tcW w:w="1465" w:type="dxa"/>
            <w:hideMark/>
          </w:tcPr>
          <w:p w14:paraId="2821F4F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44 (64)</w:t>
            </w:r>
          </w:p>
        </w:tc>
        <w:tc>
          <w:tcPr>
            <w:tcW w:w="1937" w:type="dxa"/>
            <w:hideMark/>
          </w:tcPr>
          <w:p w14:paraId="39BFAFC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19 (76)</w:t>
            </w:r>
          </w:p>
        </w:tc>
        <w:tc>
          <w:tcPr>
            <w:tcW w:w="1622" w:type="dxa"/>
            <w:hideMark/>
          </w:tcPr>
          <w:p w14:paraId="09C7F1EA"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0.362</w:t>
            </w:r>
          </w:p>
        </w:tc>
      </w:tr>
      <w:tr w:rsidR="00B424FD" w:rsidRPr="00B424FD" w14:paraId="0FA4C31B" w14:textId="77777777" w:rsidTr="00B424FD">
        <w:trPr>
          <w:jc w:val="center"/>
        </w:trPr>
        <w:tc>
          <w:tcPr>
            <w:tcW w:w="3526" w:type="dxa"/>
            <w:hideMark/>
          </w:tcPr>
          <w:p w14:paraId="2D8627B1"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Diabetes (%)</w:t>
            </w:r>
          </w:p>
        </w:tc>
        <w:tc>
          <w:tcPr>
            <w:tcW w:w="1465" w:type="dxa"/>
            <w:hideMark/>
          </w:tcPr>
          <w:p w14:paraId="0EAD8B11"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11 (16)</w:t>
            </w:r>
          </w:p>
        </w:tc>
        <w:tc>
          <w:tcPr>
            <w:tcW w:w="1937" w:type="dxa"/>
            <w:hideMark/>
          </w:tcPr>
          <w:p w14:paraId="32BCD5E1"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5 (20)</w:t>
            </w:r>
          </w:p>
        </w:tc>
        <w:tc>
          <w:tcPr>
            <w:tcW w:w="1622" w:type="dxa"/>
            <w:hideMark/>
          </w:tcPr>
          <w:p w14:paraId="1165F641"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0.99</w:t>
            </w:r>
          </w:p>
        </w:tc>
      </w:tr>
      <w:tr w:rsidR="00B424FD" w:rsidRPr="00B424FD" w14:paraId="39BCC045" w14:textId="77777777" w:rsidTr="00B424FD">
        <w:trPr>
          <w:jc w:val="center"/>
        </w:trPr>
        <w:tc>
          <w:tcPr>
            <w:tcW w:w="3526" w:type="dxa"/>
            <w:hideMark/>
          </w:tcPr>
          <w:p w14:paraId="3EDD8BB8"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Smoke (%)</w:t>
            </w:r>
          </w:p>
        </w:tc>
        <w:tc>
          <w:tcPr>
            <w:tcW w:w="1465" w:type="dxa"/>
            <w:hideMark/>
          </w:tcPr>
          <w:p w14:paraId="5445F26D"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7 (10)</w:t>
            </w:r>
          </w:p>
        </w:tc>
        <w:tc>
          <w:tcPr>
            <w:tcW w:w="1937" w:type="dxa"/>
            <w:hideMark/>
          </w:tcPr>
          <w:p w14:paraId="1A721E9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8 (32)</w:t>
            </w:r>
          </w:p>
        </w:tc>
        <w:tc>
          <w:tcPr>
            <w:tcW w:w="1622" w:type="dxa"/>
            <w:hideMark/>
          </w:tcPr>
          <w:p w14:paraId="270D067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0.021</w:t>
            </w:r>
          </w:p>
        </w:tc>
      </w:tr>
      <w:tr w:rsidR="00B424FD" w:rsidRPr="00B424FD" w14:paraId="1E5F6F4A" w14:textId="77777777" w:rsidTr="00B424FD">
        <w:trPr>
          <w:jc w:val="center"/>
        </w:trPr>
        <w:tc>
          <w:tcPr>
            <w:tcW w:w="3526" w:type="dxa"/>
            <w:hideMark/>
          </w:tcPr>
          <w:p w14:paraId="1928D8C8"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Obesity (%)</w:t>
            </w:r>
          </w:p>
        </w:tc>
        <w:tc>
          <w:tcPr>
            <w:tcW w:w="1465" w:type="dxa"/>
            <w:hideMark/>
          </w:tcPr>
          <w:p w14:paraId="4F112F98"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18 (26)</w:t>
            </w:r>
          </w:p>
        </w:tc>
        <w:tc>
          <w:tcPr>
            <w:tcW w:w="1937" w:type="dxa"/>
            <w:hideMark/>
          </w:tcPr>
          <w:p w14:paraId="615BCA3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13 (52)</w:t>
            </w:r>
          </w:p>
        </w:tc>
        <w:tc>
          <w:tcPr>
            <w:tcW w:w="1622" w:type="dxa"/>
            <w:hideMark/>
          </w:tcPr>
          <w:p w14:paraId="196A4ED8"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0.025</w:t>
            </w:r>
          </w:p>
        </w:tc>
      </w:tr>
      <w:tr w:rsidR="00B424FD" w:rsidRPr="00B424FD" w14:paraId="5BA684E0" w14:textId="77777777" w:rsidTr="00B424FD">
        <w:trPr>
          <w:jc w:val="center"/>
        </w:trPr>
        <w:tc>
          <w:tcPr>
            <w:tcW w:w="3526" w:type="dxa"/>
            <w:hideMark/>
          </w:tcPr>
          <w:p w14:paraId="4E3D33E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Type of ventilation</w:t>
            </w:r>
          </w:p>
        </w:tc>
        <w:tc>
          <w:tcPr>
            <w:tcW w:w="1465" w:type="dxa"/>
          </w:tcPr>
          <w:p w14:paraId="1CFD5D2B" w14:textId="77777777" w:rsidR="00B424FD" w:rsidRPr="00B424FD" w:rsidRDefault="00B424FD" w:rsidP="00B424FD">
            <w:pPr>
              <w:bidi w:val="0"/>
              <w:rPr>
                <w:rFonts w:asciiTheme="majorBidi" w:hAnsiTheme="majorBidi" w:cstheme="majorBidi"/>
                <w:sz w:val="20"/>
                <w:szCs w:val="20"/>
              </w:rPr>
            </w:pPr>
          </w:p>
        </w:tc>
        <w:tc>
          <w:tcPr>
            <w:tcW w:w="1937" w:type="dxa"/>
          </w:tcPr>
          <w:p w14:paraId="3EEC0733" w14:textId="77777777" w:rsidR="00B424FD" w:rsidRPr="00B424FD" w:rsidRDefault="00B424FD" w:rsidP="00B424FD">
            <w:pPr>
              <w:bidi w:val="0"/>
              <w:rPr>
                <w:rFonts w:asciiTheme="majorBidi" w:hAnsiTheme="majorBidi" w:cstheme="majorBidi"/>
                <w:sz w:val="20"/>
                <w:szCs w:val="20"/>
              </w:rPr>
            </w:pPr>
          </w:p>
        </w:tc>
        <w:tc>
          <w:tcPr>
            <w:tcW w:w="1622" w:type="dxa"/>
          </w:tcPr>
          <w:p w14:paraId="7FDCFB6D" w14:textId="77777777" w:rsidR="00B424FD" w:rsidRPr="00B424FD" w:rsidRDefault="00B424FD" w:rsidP="00B424FD">
            <w:pPr>
              <w:bidi w:val="0"/>
              <w:rPr>
                <w:rFonts w:asciiTheme="majorBidi" w:hAnsiTheme="majorBidi" w:cstheme="majorBidi"/>
                <w:sz w:val="20"/>
                <w:szCs w:val="20"/>
              </w:rPr>
            </w:pPr>
          </w:p>
        </w:tc>
      </w:tr>
      <w:tr w:rsidR="00B424FD" w:rsidRPr="00B424FD" w14:paraId="18C7B5B3" w14:textId="77777777" w:rsidTr="00B424FD">
        <w:trPr>
          <w:jc w:val="center"/>
        </w:trPr>
        <w:tc>
          <w:tcPr>
            <w:tcW w:w="3526" w:type="dxa"/>
            <w:hideMark/>
          </w:tcPr>
          <w:p w14:paraId="1E445E04"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Nasal oxygen (%)</w:t>
            </w:r>
          </w:p>
        </w:tc>
        <w:tc>
          <w:tcPr>
            <w:tcW w:w="1465" w:type="dxa"/>
            <w:hideMark/>
          </w:tcPr>
          <w:p w14:paraId="3FD794B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35 (51)</w:t>
            </w:r>
          </w:p>
        </w:tc>
        <w:tc>
          <w:tcPr>
            <w:tcW w:w="1937" w:type="dxa"/>
            <w:hideMark/>
          </w:tcPr>
          <w:p w14:paraId="4C714BCE"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 (0)</w:t>
            </w:r>
          </w:p>
        </w:tc>
        <w:tc>
          <w:tcPr>
            <w:tcW w:w="1622" w:type="dxa"/>
            <w:hideMark/>
          </w:tcPr>
          <w:p w14:paraId="31760C6E"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&lt; 0.001</w:t>
            </w:r>
          </w:p>
        </w:tc>
      </w:tr>
      <w:tr w:rsidR="00B424FD" w:rsidRPr="00B424FD" w14:paraId="0FE9B2EE" w14:textId="77777777" w:rsidTr="00B424FD">
        <w:trPr>
          <w:jc w:val="center"/>
        </w:trPr>
        <w:tc>
          <w:tcPr>
            <w:tcW w:w="3526" w:type="dxa"/>
            <w:hideMark/>
          </w:tcPr>
          <w:p w14:paraId="4092506B"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Noninvasive ventilation (%)</w:t>
            </w:r>
          </w:p>
        </w:tc>
        <w:tc>
          <w:tcPr>
            <w:tcW w:w="1465" w:type="dxa"/>
            <w:hideMark/>
          </w:tcPr>
          <w:p w14:paraId="48240225"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22 (32)</w:t>
            </w:r>
          </w:p>
        </w:tc>
        <w:tc>
          <w:tcPr>
            <w:tcW w:w="1937" w:type="dxa"/>
            <w:hideMark/>
          </w:tcPr>
          <w:p w14:paraId="28732726"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 (0)</w:t>
            </w:r>
          </w:p>
        </w:tc>
        <w:tc>
          <w:tcPr>
            <w:tcW w:w="1622" w:type="dxa"/>
            <w:hideMark/>
          </w:tcPr>
          <w:p w14:paraId="64B1B13F"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&lt; 0.001</w:t>
            </w:r>
          </w:p>
        </w:tc>
      </w:tr>
      <w:tr w:rsidR="00B424FD" w:rsidRPr="00B424FD" w14:paraId="2779C31C" w14:textId="77777777" w:rsidTr="00B424FD">
        <w:trPr>
          <w:jc w:val="center"/>
        </w:trPr>
        <w:tc>
          <w:tcPr>
            <w:tcW w:w="3526" w:type="dxa"/>
            <w:hideMark/>
          </w:tcPr>
          <w:p w14:paraId="1381FD4D"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Intubation (%)</w:t>
            </w:r>
          </w:p>
        </w:tc>
        <w:tc>
          <w:tcPr>
            <w:tcW w:w="1465" w:type="dxa"/>
            <w:hideMark/>
          </w:tcPr>
          <w:p w14:paraId="7CDF2638"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12 (17)</w:t>
            </w:r>
          </w:p>
        </w:tc>
        <w:tc>
          <w:tcPr>
            <w:tcW w:w="1937" w:type="dxa"/>
            <w:hideMark/>
          </w:tcPr>
          <w:p w14:paraId="17CA3BD7"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25 (100)</w:t>
            </w:r>
          </w:p>
        </w:tc>
        <w:tc>
          <w:tcPr>
            <w:tcW w:w="1622" w:type="dxa"/>
            <w:hideMark/>
          </w:tcPr>
          <w:p w14:paraId="44666692"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&lt; 0.032</w:t>
            </w:r>
          </w:p>
        </w:tc>
      </w:tr>
      <w:tr w:rsidR="00B424FD" w:rsidRPr="00B424FD" w14:paraId="3BCC0983" w14:textId="77777777" w:rsidTr="00B424FD">
        <w:trPr>
          <w:jc w:val="center"/>
        </w:trPr>
        <w:tc>
          <w:tcPr>
            <w:tcW w:w="3526" w:type="dxa"/>
            <w:hideMark/>
          </w:tcPr>
          <w:p w14:paraId="053EDB5F"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Biochemistry</w:t>
            </w:r>
          </w:p>
        </w:tc>
        <w:tc>
          <w:tcPr>
            <w:tcW w:w="1465" w:type="dxa"/>
          </w:tcPr>
          <w:p w14:paraId="577288F4" w14:textId="77777777" w:rsidR="00B424FD" w:rsidRPr="00B424FD" w:rsidRDefault="00B424FD" w:rsidP="00B424FD">
            <w:pPr>
              <w:bidi w:val="0"/>
              <w:rPr>
                <w:rFonts w:asciiTheme="majorBidi" w:hAnsiTheme="majorBidi" w:cstheme="majorBidi"/>
                <w:sz w:val="20"/>
                <w:szCs w:val="20"/>
              </w:rPr>
            </w:pPr>
          </w:p>
        </w:tc>
        <w:tc>
          <w:tcPr>
            <w:tcW w:w="1937" w:type="dxa"/>
          </w:tcPr>
          <w:p w14:paraId="5FFCD061" w14:textId="77777777" w:rsidR="00B424FD" w:rsidRPr="00B424FD" w:rsidRDefault="00B424FD" w:rsidP="00B424FD">
            <w:pPr>
              <w:bidi w:val="0"/>
              <w:rPr>
                <w:rFonts w:asciiTheme="majorBidi" w:hAnsiTheme="majorBidi" w:cstheme="majorBidi"/>
                <w:sz w:val="20"/>
                <w:szCs w:val="20"/>
              </w:rPr>
            </w:pPr>
          </w:p>
        </w:tc>
        <w:tc>
          <w:tcPr>
            <w:tcW w:w="1622" w:type="dxa"/>
          </w:tcPr>
          <w:p w14:paraId="00D30DFB" w14:textId="77777777" w:rsidR="00B424FD" w:rsidRPr="00B424FD" w:rsidRDefault="00B424FD" w:rsidP="00B424FD">
            <w:pPr>
              <w:bidi w:val="0"/>
              <w:rPr>
                <w:rFonts w:asciiTheme="majorBidi" w:hAnsiTheme="majorBidi" w:cstheme="majorBidi"/>
                <w:sz w:val="20"/>
                <w:szCs w:val="20"/>
              </w:rPr>
            </w:pPr>
          </w:p>
        </w:tc>
      </w:tr>
      <w:tr w:rsidR="00B424FD" w:rsidRPr="00B424FD" w14:paraId="72066BAB" w14:textId="77777777" w:rsidTr="00B424FD">
        <w:trPr>
          <w:jc w:val="center"/>
        </w:trPr>
        <w:tc>
          <w:tcPr>
            <w:tcW w:w="3526" w:type="dxa"/>
            <w:hideMark/>
          </w:tcPr>
          <w:p w14:paraId="1D95AA54"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Creatinine (mg/dl)</w:t>
            </w:r>
          </w:p>
        </w:tc>
        <w:tc>
          <w:tcPr>
            <w:tcW w:w="1465" w:type="dxa"/>
            <w:hideMark/>
          </w:tcPr>
          <w:p w14:paraId="11B41F4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1.3 ± 1.3</w:t>
            </w:r>
          </w:p>
        </w:tc>
        <w:tc>
          <w:tcPr>
            <w:tcW w:w="1937" w:type="dxa"/>
            <w:hideMark/>
          </w:tcPr>
          <w:p w14:paraId="461F9FB5"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2.8 ± 1.4</w:t>
            </w:r>
          </w:p>
        </w:tc>
        <w:tc>
          <w:tcPr>
            <w:tcW w:w="1622" w:type="dxa"/>
            <w:hideMark/>
          </w:tcPr>
          <w:p w14:paraId="463ECB34"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&lt; 0.001</w:t>
            </w:r>
          </w:p>
        </w:tc>
      </w:tr>
      <w:tr w:rsidR="00B424FD" w:rsidRPr="00B424FD" w14:paraId="4B3BBB19" w14:textId="77777777" w:rsidTr="00B424FD">
        <w:trPr>
          <w:jc w:val="center"/>
        </w:trPr>
        <w:tc>
          <w:tcPr>
            <w:tcW w:w="3526" w:type="dxa"/>
            <w:hideMark/>
          </w:tcPr>
          <w:p w14:paraId="7B5D80E5"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Cardiac Troponin I (pg/l)</w:t>
            </w:r>
          </w:p>
        </w:tc>
        <w:tc>
          <w:tcPr>
            <w:tcW w:w="1465" w:type="dxa"/>
            <w:hideMark/>
          </w:tcPr>
          <w:p w14:paraId="4D26C21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365 ± 644</w:t>
            </w:r>
          </w:p>
        </w:tc>
        <w:tc>
          <w:tcPr>
            <w:tcW w:w="1937" w:type="dxa"/>
            <w:hideMark/>
          </w:tcPr>
          <w:p w14:paraId="62F17BD2"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1245 ± 2049</w:t>
            </w:r>
          </w:p>
        </w:tc>
        <w:tc>
          <w:tcPr>
            <w:tcW w:w="1622" w:type="dxa"/>
            <w:hideMark/>
          </w:tcPr>
          <w:p w14:paraId="6528045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&lt; 0.002</w:t>
            </w:r>
          </w:p>
        </w:tc>
      </w:tr>
      <w:tr w:rsidR="00B424FD" w:rsidRPr="00B424FD" w14:paraId="1C473B1D" w14:textId="77777777" w:rsidTr="00B424FD">
        <w:trPr>
          <w:jc w:val="center"/>
        </w:trPr>
        <w:tc>
          <w:tcPr>
            <w:tcW w:w="3526" w:type="dxa"/>
            <w:hideMark/>
          </w:tcPr>
          <w:p w14:paraId="4D859615"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D-dimer (ng/ml)</w:t>
            </w:r>
          </w:p>
        </w:tc>
        <w:tc>
          <w:tcPr>
            <w:tcW w:w="1465" w:type="dxa"/>
            <w:hideMark/>
          </w:tcPr>
          <w:p w14:paraId="18DB81F7"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317 ± 557</w:t>
            </w:r>
          </w:p>
        </w:tc>
        <w:tc>
          <w:tcPr>
            <w:tcW w:w="1937" w:type="dxa"/>
            <w:hideMark/>
          </w:tcPr>
          <w:p w14:paraId="3815AE82"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919 ± 974</w:t>
            </w:r>
          </w:p>
        </w:tc>
        <w:tc>
          <w:tcPr>
            <w:tcW w:w="1622" w:type="dxa"/>
            <w:hideMark/>
          </w:tcPr>
          <w:p w14:paraId="32D4798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&lt; 0.001</w:t>
            </w:r>
          </w:p>
        </w:tc>
      </w:tr>
      <w:tr w:rsidR="00B424FD" w:rsidRPr="00B424FD" w14:paraId="1E6FC8C4" w14:textId="77777777" w:rsidTr="00B424FD">
        <w:trPr>
          <w:jc w:val="center"/>
        </w:trPr>
        <w:tc>
          <w:tcPr>
            <w:tcW w:w="3526" w:type="dxa"/>
            <w:hideMark/>
          </w:tcPr>
          <w:p w14:paraId="73B37FCE"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C-reactive protein (mg/dl)</w:t>
            </w:r>
          </w:p>
        </w:tc>
        <w:tc>
          <w:tcPr>
            <w:tcW w:w="1465" w:type="dxa"/>
            <w:hideMark/>
          </w:tcPr>
          <w:p w14:paraId="483AEB7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10.6 ± 19.9</w:t>
            </w:r>
          </w:p>
        </w:tc>
        <w:tc>
          <w:tcPr>
            <w:tcW w:w="1937" w:type="dxa"/>
            <w:hideMark/>
          </w:tcPr>
          <w:p w14:paraId="1768D23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22.8 ± 27.3</w:t>
            </w:r>
          </w:p>
        </w:tc>
        <w:tc>
          <w:tcPr>
            <w:tcW w:w="1622" w:type="dxa"/>
            <w:hideMark/>
          </w:tcPr>
          <w:p w14:paraId="2B5607A3"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&lt; 0.023</w:t>
            </w:r>
          </w:p>
        </w:tc>
      </w:tr>
      <w:tr w:rsidR="00B424FD" w:rsidRPr="00B424FD" w14:paraId="6B1F4BA4" w14:textId="77777777" w:rsidTr="00B424FD">
        <w:trPr>
          <w:jc w:val="center"/>
        </w:trPr>
        <w:tc>
          <w:tcPr>
            <w:tcW w:w="3526" w:type="dxa"/>
            <w:hideMark/>
          </w:tcPr>
          <w:p w14:paraId="4175C4CB"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PaO2/FiO2 ratio (mmHg)</w:t>
            </w:r>
          </w:p>
        </w:tc>
        <w:tc>
          <w:tcPr>
            <w:tcW w:w="1465" w:type="dxa"/>
            <w:hideMark/>
          </w:tcPr>
          <w:p w14:paraId="5E0B856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270 ± 104</w:t>
            </w:r>
          </w:p>
        </w:tc>
        <w:tc>
          <w:tcPr>
            <w:tcW w:w="1937" w:type="dxa"/>
            <w:hideMark/>
          </w:tcPr>
          <w:p w14:paraId="7B0A6CBA"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117 ± 56</w:t>
            </w:r>
          </w:p>
        </w:tc>
        <w:tc>
          <w:tcPr>
            <w:tcW w:w="1622" w:type="dxa"/>
            <w:hideMark/>
          </w:tcPr>
          <w:p w14:paraId="59FA1C5F"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&lt; 0.00</w:t>
            </w:r>
          </w:p>
        </w:tc>
      </w:tr>
    </w:tbl>
    <w:p w14:paraId="329D61FB" w14:textId="77777777" w:rsidR="00B424FD" w:rsidRPr="00B424FD" w:rsidRDefault="00B424FD" w:rsidP="00B424FD">
      <w:pPr>
        <w:bidi w:val="0"/>
        <w:spacing w:after="0" w:line="240" w:lineRule="auto"/>
        <w:rPr>
          <w:rFonts w:asciiTheme="majorBidi" w:hAnsiTheme="majorBidi" w:cstheme="majorBidi"/>
          <w:b/>
          <w:bCs/>
          <w:sz w:val="20"/>
          <w:szCs w:val="20"/>
        </w:rPr>
      </w:pPr>
      <w:r w:rsidRPr="00B424FD">
        <w:rPr>
          <w:rFonts w:asciiTheme="majorBidi" w:hAnsiTheme="majorBidi" w:cstheme="majorBidi"/>
          <w:b/>
          <w:bCs/>
          <w:sz w:val="20"/>
          <w:szCs w:val="20"/>
        </w:rPr>
        <w:t>PaO2 arterial partial pressure of oxygen, FiO2 fraction of inspired O2</w:t>
      </w:r>
    </w:p>
    <w:p w14:paraId="5AC4B080" w14:textId="77777777" w:rsidR="00B424FD" w:rsidRPr="00B424FD" w:rsidRDefault="00B424FD" w:rsidP="00B424FD">
      <w:pPr>
        <w:bidi w:val="0"/>
        <w:spacing w:after="0" w:line="240" w:lineRule="auto"/>
        <w:rPr>
          <w:rFonts w:asciiTheme="majorBidi" w:hAnsiTheme="majorBidi" w:cstheme="majorBidi"/>
          <w:b/>
          <w:bCs/>
          <w:sz w:val="20"/>
          <w:szCs w:val="20"/>
        </w:rPr>
      </w:pPr>
      <w:r w:rsidRPr="00B424FD">
        <w:rPr>
          <w:rFonts w:asciiTheme="majorBidi" w:hAnsiTheme="majorBidi" w:cstheme="majorBidi"/>
          <w:b/>
          <w:bCs/>
          <w:sz w:val="20"/>
          <w:szCs w:val="20"/>
        </w:rPr>
        <w:t>Table 2 Echocardiographic features</w:t>
      </w:r>
      <w:r w:rsidRPr="00B424FD">
        <w:rPr>
          <w:rFonts w:asciiTheme="majorBidi" w:hAnsiTheme="majorBidi" w:cstheme="majorBidi"/>
          <w:b/>
          <w:bCs/>
          <w:sz w:val="20"/>
          <w:szCs w:val="20"/>
        </w:rPr>
        <w:tab/>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1981"/>
        <w:gridCol w:w="1991"/>
        <w:gridCol w:w="2021"/>
      </w:tblGrid>
      <w:tr w:rsidR="00B424FD" w:rsidRPr="00B424FD" w14:paraId="02BAE2BA" w14:textId="77777777" w:rsidTr="00B424FD">
        <w:trPr>
          <w:trHeight w:val="85"/>
        </w:trPr>
        <w:tc>
          <w:tcPr>
            <w:tcW w:w="8522" w:type="dxa"/>
            <w:gridSpan w:val="4"/>
            <w:hideMark/>
          </w:tcPr>
          <w:p w14:paraId="46B401EE"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 xml:space="preserve">                                 Alive (n = 69) Dead (n = 25)</w:t>
            </w:r>
            <w:r w:rsidRPr="00B424FD">
              <w:rPr>
                <w:rFonts w:asciiTheme="majorBidi" w:hAnsiTheme="majorBidi" w:cstheme="majorBidi"/>
                <w:sz w:val="20"/>
                <w:szCs w:val="20"/>
              </w:rPr>
              <w:tab/>
              <w:t>p</w:t>
            </w:r>
          </w:p>
        </w:tc>
      </w:tr>
      <w:tr w:rsidR="00B424FD" w:rsidRPr="00B424FD" w14:paraId="6F310905" w14:textId="77777777" w:rsidTr="00B424FD">
        <w:tc>
          <w:tcPr>
            <w:tcW w:w="2529" w:type="dxa"/>
            <w:hideMark/>
          </w:tcPr>
          <w:p w14:paraId="5698B63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LVEDD (mm)</w:t>
            </w:r>
          </w:p>
        </w:tc>
        <w:tc>
          <w:tcPr>
            <w:tcW w:w="1981" w:type="dxa"/>
            <w:hideMark/>
          </w:tcPr>
          <w:p w14:paraId="3B922742"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48 ± 5</w:t>
            </w:r>
          </w:p>
        </w:tc>
        <w:tc>
          <w:tcPr>
            <w:tcW w:w="1991" w:type="dxa"/>
            <w:hideMark/>
          </w:tcPr>
          <w:p w14:paraId="70F8D4F5"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49 ± 4</w:t>
            </w:r>
          </w:p>
        </w:tc>
        <w:tc>
          <w:tcPr>
            <w:tcW w:w="2021" w:type="dxa"/>
            <w:hideMark/>
          </w:tcPr>
          <w:p w14:paraId="150EADDF"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0.388</w:t>
            </w:r>
          </w:p>
        </w:tc>
      </w:tr>
      <w:tr w:rsidR="00B424FD" w:rsidRPr="00B424FD" w14:paraId="64E007D5" w14:textId="77777777" w:rsidTr="00B424FD">
        <w:tc>
          <w:tcPr>
            <w:tcW w:w="2529" w:type="dxa"/>
            <w:hideMark/>
          </w:tcPr>
          <w:p w14:paraId="4733E9D2"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LVESD (mm)</w:t>
            </w:r>
          </w:p>
        </w:tc>
        <w:tc>
          <w:tcPr>
            <w:tcW w:w="1981" w:type="dxa"/>
            <w:hideMark/>
          </w:tcPr>
          <w:p w14:paraId="2D9DF16F"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29 ± 7</w:t>
            </w:r>
          </w:p>
        </w:tc>
        <w:tc>
          <w:tcPr>
            <w:tcW w:w="1991" w:type="dxa"/>
            <w:hideMark/>
          </w:tcPr>
          <w:p w14:paraId="1F44087E"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31 ± 5</w:t>
            </w:r>
          </w:p>
        </w:tc>
        <w:tc>
          <w:tcPr>
            <w:tcW w:w="2021" w:type="dxa"/>
            <w:hideMark/>
          </w:tcPr>
          <w:p w14:paraId="1006831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0.059</w:t>
            </w:r>
          </w:p>
        </w:tc>
      </w:tr>
      <w:tr w:rsidR="00B424FD" w:rsidRPr="00B424FD" w14:paraId="16839BC2" w14:textId="77777777" w:rsidTr="00B424FD">
        <w:tc>
          <w:tcPr>
            <w:tcW w:w="2529" w:type="dxa"/>
            <w:hideMark/>
          </w:tcPr>
          <w:p w14:paraId="0199679A"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LAD (mm)</w:t>
            </w:r>
          </w:p>
        </w:tc>
        <w:tc>
          <w:tcPr>
            <w:tcW w:w="1981" w:type="dxa"/>
            <w:hideMark/>
          </w:tcPr>
          <w:p w14:paraId="75281DAA"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38 ± 6</w:t>
            </w:r>
          </w:p>
        </w:tc>
        <w:tc>
          <w:tcPr>
            <w:tcW w:w="1991" w:type="dxa"/>
            <w:hideMark/>
          </w:tcPr>
          <w:p w14:paraId="1F06EEB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40 ± 5</w:t>
            </w:r>
          </w:p>
        </w:tc>
        <w:tc>
          <w:tcPr>
            <w:tcW w:w="2021" w:type="dxa"/>
            <w:hideMark/>
          </w:tcPr>
          <w:p w14:paraId="6801576B"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0.082</w:t>
            </w:r>
          </w:p>
        </w:tc>
      </w:tr>
      <w:tr w:rsidR="00B424FD" w:rsidRPr="00B424FD" w14:paraId="554BCBFB" w14:textId="77777777" w:rsidTr="00B424FD">
        <w:tc>
          <w:tcPr>
            <w:tcW w:w="2529" w:type="dxa"/>
            <w:hideMark/>
          </w:tcPr>
          <w:p w14:paraId="51FB2CEE"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LVEF (%)</w:t>
            </w:r>
          </w:p>
        </w:tc>
        <w:tc>
          <w:tcPr>
            <w:tcW w:w="1981" w:type="dxa"/>
            <w:hideMark/>
          </w:tcPr>
          <w:p w14:paraId="2BF77CEE"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60 ± 7</w:t>
            </w:r>
          </w:p>
        </w:tc>
        <w:tc>
          <w:tcPr>
            <w:tcW w:w="1991" w:type="dxa"/>
            <w:hideMark/>
          </w:tcPr>
          <w:p w14:paraId="50808177"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58 ± 8</w:t>
            </w:r>
          </w:p>
        </w:tc>
        <w:tc>
          <w:tcPr>
            <w:tcW w:w="2021" w:type="dxa"/>
            <w:hideMark/>
          </w:tcPr>
          <w:p w14:paraId="6CF3854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0.209</w:t>
            </w:r>
          </w:p>
        </w:tc>
      </w:tr>
      <w:tr w:rsidR="00B424FD" w:rsidRPr="00B424FD" w14:paraId="1504DF52" w14:textId="77777777" w:rsidTr="00B424FD">
        <w:tc>
          <w:tcPr>
            <w:tcW w:w="2529" w:type="dxa"/>
            <w:hideMark/>
          </w:tcPr>
          <w:p w14:paraId="57DD2D08"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TR</w:t>
            </w:r>
          </w:p>
        </w:tc>
        <w:tc>
          <w:tcPr>
            <w:tcW w:w="1981" w:type="dxa"/>
            <w:hideMark/>
          </w:tcPr>
          <w:p w14:paraId="5B15655F"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2 (3)</w:t>
            </w:r>
          </w:p>
        </w:tc>
        <w:tc>
          <w:tcPr>
            <w:tcW w:w="1991" w:type="dxa"/>
            <w:hideMark/>
          </w:tcPr>
          <w:p w14:paraId="5EDEC2B4"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3 (12)</w:t>
            </w:r>
          </w:p>
        </w:tc>
        <w:tc>
          <w:tcPr>
            <w:tcW w:w="2021" w:type="dxa"/>
            <w:hideMark/>
          </w:tcPr>
          <w:p w14:paraId="22E06163"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0.084</w:t>
            </w:r>
          </w:p>
        </w:tc>
      </w:tr>
      <w:tr w:rsidR="00B424FD" w:rsidRPr="00B424FD" w14:paraId="3935D673" w14:textId="77777777" w:rsidTr="00B424FD">
        <w:tc>
          <w:tcPr>
            <w:tcW w:w="2529" w:type="dxa"/>
            <w:hideMark/>
          </w:tcPr>
          <w:p w14:paraId="76F803C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TAPSE (mm)</w:t>
            </w:r>
          </w:p>
        </w:tc>
        <w:tc>
          <w:tcPr>
            <w:tcW w:w="1981" w:type="dxa"/>
            <w:hideMark/>
          </w:tcPr>
          <w:p w14:paraId="23B61C4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25 ± 4</w:t>
            </w:r>
          </w:p>
        </w:tc>
        <w:tc>
          <w:tcPr>
            <w:tcW w:w="1991" w:type="dxa"/>
            <w:hideMark/>
          </w:tcPr>
          <w:p w14:paraId="1C686734"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19 ± 4</w:t>
            </w:r>
          </w:p>
        </w:tc>
        <w:tc>
          <w:tcPr>
            <w:tcW w:w="2021" w:type="dxa"/>
            <w:hideMark/>
          </w:tcPr>
          <w:p w14:paraId="6C4BF654"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&lt; 0.001</w:t>
            </w:r>
          </w:p>
        </w:tc>
      </w:tr>
      <w:tr w:rsidR="00B424FD" w:rsidRPr="00B424FD" w14:paraId="4655E484" w14:textId="77777777" w:rsidTr="00B424FD">
        <w:tc>
          <w:tcPr>
            <w:tcW w:w="2529" w:type="dxa"/>
            <w:hideMark/>
          </w:tcPr>
          <w:p w14:paraId="6170BCD6"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PASP (mmHg)</w:t>
            </w:r>
          </w:p>
        </w:tc>
        <w:tc>
          <w:tcPr>
            <w:tcW w:w="1981" w:type="dxa"/>
            <w:hideMark/>
          </w:tcPr>
          <w:p w14:paraId="3D094D63"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30 ± 7</w:t>
            </w:r>
          </w:p>
        </w:tc>
        <w:tc>
          <w:tcPr>
            <w:tcW w:w="1991" w:type="dxa"/>
            <w:hideMark/>
          </w:tcPr>
          <w:p w14:paraId="28EA9B2B"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42 ± 12</w:t>
            </w:r>
          </w:p>
        </w:tc>
        <w:tc>
          <w:tcPr>
            <w:tcW w:w="2021" w:type="dxa"/>
            <w:hideMark/>
          </w:tcPr>
          <w:p w14:paraId="4B4F900B"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&lt; 0.001</w:t>
            </w:r>
          </w:p>
        </w:tc>
      </w:tr>
      <w:tr w:rsidR="00B424FD" w:rsidRPr="00B424FD" w14:paraId="2722A84D" w14:textId="77777777" w:rsidTr="00B424FD">
        <w:trPr>
          <w:trHeight w:val="98"/>
        </w:trPr>
        <w:tc>
          <w:tcPr>
            <w:tcW w:w="2529" w:type="dxa"/>
            <w:hideMark/>
          </w:tcPr>
          <w:p w14:paraId="682C72B8"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 xml:space="preserve">TAPSE/PASP  </w:t>
            </w:r>
          </w:p>
        </w:tc>
        <w:tc>
          <w:tcPr>
            <w:tcW w:w="1981" w:type="dxa"/>
            <w:hideMark/>
          </w:tcPr>
          <w:p w14:paraId="0C39E3B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0.89 ± 0.29</w:t>
            </w:r>
          </w:p>
        </w:tc>
        <w:tc>
          <w:tcPr>
            <w:tcW w:w="1991" w:type="dxa"/>
            <w:hideMark/>
          </w:tcPr>
          <w:p w14:paraId="23E1F2BF"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0.51 ± 0.22</w:t>
            </w:r>
          </w:p>
        </w:tc>
        <w:tc>
          <w:tcPr>
            <w:tcW w:w="2021" w:type="dxa"/>
            <w:hideMark/>
          </w:tcPr>
          <w:p w14:paraId="2E2A4841"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 xml:space="preserve">    &lt; 0.001</w:t>
            </w:r>
          </w:p>
        </w:tc>
      </w:tr>
    </w:tbl>
    <w:p w14:paraId="005E2058" w14:textId="77777777" w:rsidR="00B424FD" w:rsidRPr="0057661C" w:rsidRDefault="00B424FD" w:rsidP="00B424FD">
      <w:pPr>
        <w:tabs>
          <w:tab w:val="left" w:pos="720"/>
          <w:tab w:val="left" w:pos="1440"/>
          <w:tab w:val="left" w:pos="2160"/>
          <w:tab w:val="left" w:pos="2880"/>
          <w:tab w:val="left" w:pos="3600"/>
          <w:tab w:val="left" w:pos="4320"/>
          <w:tab w:val="left" w:pos="5040"/>
          <w:tab w:val="right" w:pos="8309"/>
        </w:tabs>
        <w:bidi w:val="0"/>
        <w:spacing w:after="0" w:line="240" w:lineRule="auto"/>
        <w:rPr>
          <w:rFonts w:asciiTheme="majorBidi" w:eastAsia="Calibri" w:hAnsiTheme="majorBidi" w:cstheme="majorBidi"/>
          <w:b/>
          <w:bCs/>
          <w:sz w:val="20"/>
          <w:szCs w:val="20"/>
        </w:rPr>
      </w:pPr>
      <w:r>
        <w:rPr>
          <w:rFonts w:asciiTheme="majorBidi" w:eastAsia="Calibri" w:hAnsiTheme="majorBidi" w:cstheme="majorBidi"/>
          <w:b/>
          <w:bCs/>
          <w:sz w:val="20"/>
          <w:szCs w:val="20"/>
        </w:rPr>
        <w:t>P-value &lt; 0.05 is considered statically significant.</w:t>
      </w:r>
    </w:p>
    <w:p w14:paraId="17165362" w14:textId="77777777" w:rsidR="00B424FD" w:rsidRPr="00B424FD" w:rsidRDefault="00B424FD" w:rsidP="00B424FD">
      <w:pPr>
        <w:tabs>
          <w:tab w:val="left" w:pos="720"/>
          <w:tab w:val="left" w:pos="1440"/>
          <w:tab w:val="left" w:pos="2160"/>
          <w:tab w:val="left" w:pos="2880"/>
          <w:tab w:val="left" w:pos="3600"/>
          <w:tab w:val="left" w:pos="4320"/>
          <w:tab w:val="left" w:pos="5040"/>
          <w:tab w:val="right" w:pos="8309"/>
        </w:tabs>
        <w:bidi w:val="0"/>
        <w:spacing w:after="0" w:line="240" w:lineRule="auto"/>
        <w:jc w:val="both"/>
        <w:rPr>
          <w:rFonts w:asciiTheme="majorBidi" w:hAnsiTheme="majorBidi" w:cstheme="majorBidi"/>
          <w:b/>
          <w:bCs/>
          <w:sz w:val="20"/>
          <w:szCs w:val="20"/>
        </w:rPr>
      </w:pPr>
      <w:r w:rsidRPr="00B424FD">
        <w:rPr>
          <w:rFonts w:asciiTheme="majorBidi" w:hAnsiTheme="majorBidi" w:cstheme="majorBidi"/>
          <w:b/>
          <w:bCs/>
          <w:sz w:val="20"/>
          <w:szCs w:val="20"/>
        </w:rPr>
        <w:t>Table 3 Single  predictor  models  of  Cox  proportional hazard analysis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0"/>
        <w:gridCol w:w="2169"/>
        <w:gridCol w:w="2263"/>
        <w:gridCol w:w="1652"/>
      </w:tblGrid>
      <w:tr w:rsidR="00B424FD" w:rsidRPr="00B424FD" w14:paraId="39D62D7C" w14:textId="77777777" w:rsidTr="00B424FD">
        <w:trPr>
          <w:trHeight w:val="109"/>
          <w:jc w:val="center"/>
        </w:trPr>
        <w:tc>
          <w:tcPr>
            <w:tcW w:w="2780" w:type="dxa"/>
            <w:hideMark/>
          </w:tcPr>
          <w:p w14:paraId="4E89A14E"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 xml:space="preserve">variables     </w:t>
            </w:r>
          </w:p>
        </w:tc>
        <w:tc>
          <w:tcPr>
            <w:tcW w:w="2169" w:type="dxa"/>
            <w:hideMark/>
          </w:tcPr>
          <w:p w14:paraId="10FE165A"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 xml:space="preserve">HR                             </w:t>
            </w:r>
          </w:p>
        </w:tc>
        <w:tc>
          <w:tcPr>
            <w:tcW w:w="2263" w:type="dxa"/>
            <w:hideMark/>
          </w:tcPr>
          <w:p w14:paraId="7EAC30DD"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 xml:space="preserve">     </w:t>
            </w:r>
            <w:r w:rsidRPr="00B424FD">
              <w:rPr>
                <w:rFonts w:asciiTheme="majorBidi" w:hAnsiTheme="majorBidi" w:cstheme="majorBidi"/>
                <w:sz w:val="20"/>
                <w:szCs w:val="20"/>
              </w:rPr>
              <w:tab/>
              <w:t>95% (CL)</w:t>
            </w:r>
          </w:p>
        </w:tc>
        <w:tc>
          <w:tcPr>
            <w:tcW w:w="1652" w:type="dxa"/>
            <w:hideMark/>
          </w:tcPr>
          <w:p w14:paraId="2EDB9B0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 xml:space="preserve">P                                                                </w:t>
            </w:r>
          </w:p>
        </w:tc>
      </w:tr>
      <w:tr w:rsidR="00B424FD" w:rsidRPr="00B424FD" w14:paraId="2DA53ED2" w14:textId="77777777" w:rsidTr="00B424FD">
        <w:trPr>
          <w:trHeight w:val="109"/>
          <w:jc w:val="center"/>
        </w:trPr>
        <w:tc>
          <w:tcPr>
            <w:tcW w:w="2780" w:type="dxa"/>
            <w:hideMark/>
          </w:tcPr>
          <w:p w14:paraId="689BC9C2"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Age (year)</w:t>
            </w:r>
          </w:p>
        </w:tc>
        <w:tc>
          <w:tcPr>
            <w:tcW w:w="2169" w:type="dxa"/>
            <w:hideMark/>
          </w:tcPr>
          <w:p w14:paraId="3B97FDE7"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1.04</w:t>
            </w:r>
          </w:p>
        </w:tc>
        <w:tc>
          <w:tcPr>
            <w:tcW w:w="2263" w:type="dxa"/>
            <w:hideMark/>
          </w:tcPr>
          <w:p w14:paraId="50F46C5F"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 xml:space="preserve"> 1.003–1.078                                                            </w:t>
            </w:r>
          </w:p>
        </w:tc>
        <w:tc>
          <w:tcPr>
            <w:tcW w:w="1652" w:type="dxa"/>
          </w:tcPr>
          <w:p w14:paraId="4BEE501A"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 xml:space="preserve">             0.035</w:t>
            </w:r>
          </w:p>
          <w:p w14:paraId="1083DC40" w14:textId="77777777" w:rsidR="00B424FD" w:rsidRPr="00B424FD" w:rsidRDefault="00B424FD" w:rsidP="00B424FD">
            <w:pPr>
              <w:bidi w:val="0"/>
              <w:rPr>
                <w:rFonts w:asciiTheme="majorBidi" w:hAnsiTheme="majorBidi" w:cstheme="majorBidi"/>
                <w:sz w:val="20"/>
                <w:szCs w:val="20"/>
              </w:rPr>
            </w:pPr>
          </w:p>
        </w:tc>
      </w:tr>
      <w:tr w:rsidR="00B424FD" w:rsidRPr="00B424FD" w14:paraId="70CF9117" w14:textId="77777777" w:rsidTr="00B424FD">
        <w:trPr>
          <w:jc w:val="center"/>
        </w:trPr>
        <w:tc>
          <w:tcPr>
            <w:tcW w:w="2780" w:type="dxa"/>
            <w:hideMark/>
          </w:tcPr>
          <w:p w14:paraId="3767C147"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Sex (female)</w:t>
            </w:r>
          </w:p>
        </w:tc>
        <w:tc>
          <w:tcPr>
            <w:tcW w:w="2169" w:type="dxa"/>
            <w:hideMark/>
          </w:tcPr>
          <w:p w14:paraId="226E831B"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0.00</w:t>
            </w:r>
          </w:p>
        </w:tc>
        <w:tc>
          <w:tcPr>
            <w:tcW w:w="2263" w:type="dxa"/>
            <w:hideMark/>
          </w:tcPr>
          <w:p w14:paraId="04A87323"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0.000–0.216</w:t>
            </w:r>
          </w:p>
        </w:tc>
        <w:tc>
          <w:tcPr>
            <w:tcW w:w="1652" w:type="dxa"/>
          </w:tcPr>
          <w:p w14:paraId="4D55AE67"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 xml:space="preserve">         0.006</w:t>
            </w:r>
          </w:p>
          <w:p w14:paraId="6B107118" w14:textId="77777777" w:rsidR="00B424FD" w:rsidRPr="00B424FD" w:rsidRDefault="00B424FD" w:rsidP="00B424FD">
            <w:pPr>
              <w:bidi w:val="0"/>
              <w:rPr>
                <w:rFonts w:asciiTheme="majorBidi" w:hAnsiTheme="majorBidi" w:cstheme="majorBidi"/>
                <w:sz w:val="20"/>
                <w:szCs w:val="20"/>
              </w:rPr>
            </w:pPr>
          </w:p>
        </w:tc>
      </w:tr>
      <w:tr w:rsidR="00B424FD" w:rsidRPr="00B424FD" w14:paraId="68BA6025" w14:textId="77777777" w:rsidTr="00B424FD">
        <w:trPr>
          <w:jc w:val="center"/>
        </w:trPr>
        <w:tc>
          <w:tcPr>
            <w:tcW w:w="2780" w:type="dxa"/>
            <w:hideMark/>
          </w:tcPr>
          <w:p w14:paraId="65FE046F"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Hypertension</w:t>
            </w:r>
          </w:p>
        </w:tc>
        <w:tc>
          <w:tcPr>
            <w:tcW w:w="2169" w:type="dxa"/>
            <w:hideMark/>
          </w:tcPr>
          <w:p w14:paraId="5CFCF183"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1,767</w:t>
            </w:r>
          </w:p>
        </w:tc>
        <w:tc>
          <w:tcPr>
            <w:tcW w:w="2263" w:type="dxa"/>
            <w:hideMark/>
          </w:tcPr>
          <w:p w14:paraId="6ECA0A9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0.706–4.429</w:t>
            </w:r>
          </w:p>
        </w:tc>
        <w:tc>
          <w:tcPr>
            <w:tcW w:w="1652" w:type="dxa"/>
            <w:hideMark/>
          </w:tcPr>
          <w:p w14:paraId="580591E2"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0.224</w:t>
            </w:r>
          </w:p>
        </w:tc>
      </w:tr>
      <w:tr w:rsidR="00B424FD" w:rsidRPr="00B424FD" w14:paraId="6749AA1B" w14:textId="77777777" w:rsidTr="00B424FD">
        <w:trPr>
          <w:jc w:val="center"/>
        </w:trPr>
        <w:tc>
          <w:tcPr>
            <w:tcW w:w="2780" w:type="dxa"/>
            <w:hideMark/>
          </w:tcPr>
          <w:p w14:paraId="51074B8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Diabetes</w:t>
            </w:r>
          </w:p>
        </w:tc>
        <w:tc>
          <w:tcPr>
            <w:tcW w:w="2169" w:type="dxa"/>
            <w:hideMark/>
          </w:tcPr>
          <w:p w14:paraId="1FE8421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1.525</w:t>
            </w:r>
          </w:p>
        </w:tc>
        <w:tc>
          <w:tcPr>
            <w:tcW w:w="2263" w:type="dxa"/>
            <w:hideMark/>
          </w:tcPr>
          <w:p w14:paraId="2C3C6F55"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0.571–4.072</w:t>
            </w:r>
          </w:p>
        </w:tc>
        <w:tc>
          <w:tcPr>
            <w:tcW w:w="1652" w:type="dxa"/>
            <w:hideMark/>
          </w:tcPr>
          <w:p w14:paraId="2587D6D7"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0.40</w:t>
            </w:r>
          </w:p>
        </w:tc>
      </w:tr>
      <w:tr w:rsidR="00B424FD" w:rsidRPr="00B424FD" w14:paraId="2829344B" w14:textId="77777777" w:rsidTr="00B424FD">
        <w:trPr>
          <w:jc w:val="center"/>
        </w:trPr>
        <w:tc>
          <w:tcPr>
            <w:tcW w:w="2780" w:type="dxa"/>
            <w:hideMark/>
          </w:tcPr>
          <w:p w14:paraId="100FA9E6"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Smokers</w:t>
            </w:r>
          </w:p>
        </w:tc>
        <w:tc>
          <w:tcPr>
            <w:tcW w:w="2169" w:type="dxa"/>
            <w:hideMark/>
          </w:tcPr>
          <w:p w14:paraId="43F5991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3.050</w:t>
            </w:r>
          </w:p>
        </w:tc>
        <w:tc>
          <w:tcPr>
            <w:tcW w:w="2263" w:type="dxa"/>
            <w:hideMark/>
          </w:tcPr>
          <w:p w14:paraId="3FFF24EE"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1.313–7.086</w:t>
            </w:r>
          </w:p>
        </w:tc>
        <w:tc>
          <w:tcPr>
            <w:tcW w:w="1652" w:type="dxa"/>
            <w:hideMark/>
          </w:tcPr>
          <w:p w14:paraId="3A3897ED"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0.10</w:t>
            </w:r>
          </w:p>
        </w:tc>
      </w:tr>
      <w:tr w:rsidR="00B424FD" w:rsidRPr="00B424FD" w14:paraId="6BB1B6FE" w14:textId="77777777" w:rsidTr="00B424FD">
        <w:trPr>
          <w:jc w:val="center"/>
        </w:trPr>
        <w:tc>
          <w:tcPr>
            <w:tcW w:w="2780" w:type="dxa"/>
            <w:hideMark/>
          </w:tcPr>
          <w:p w14:paraId="4FC7E8E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Obesity</w:t>
            </w:r>
          </w:p>
        </w:tc>
        <w:tc>
          <w:tcPr>
            <w:tcW w:w="2169" w:type="dxa"/>
            <w:hideMark/>
          </w:tcPr>
          <w:p w14:paraId="433DCC17"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2.252</w:t>
            </w:r>
          </w:p>
        </w:tc>
        <w:tc>
          <w:tcPr>
            <w:tcW w:w="2263" w:type="dxa"/>
            <w:hideMark/>
          </w:tcPr>
          <w:p w14:paraId="34CB6BB8"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1.027–4.936</w:t>
            </w:r>
          </w:p>
        </w:tc>
        <w:tc>
          <w:tcPr>
            <w:tcW w:w="1652" w:type="dxa"/>
            <w:hideMark/>
          </w:tcPr>
          <w:p w14:paraId="7AF031C1"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0.044</w:t>
            </w:r>
          </w:p>
        </w:tc>
      </w:tr>
      <w:tr w:rsidR="00B424FD" w:rsidRPr="00B424FD" w14:paraId="59F4372B" w14:textId="77777777" w:rsidTr="00B424FD">
        <w:trPr>
          <w:jc w:val="center"/>
        </w:trPr>
        <w:tc>
          <w:tcPr>
            <w:tcW w:w="2780" w:type="dxa"/>
            <w:hideMark/>
          </w:tcPr>
          <w:p w14:paraId="1BC60E1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Nasal oxygen</w:t>
            </w:r>
          </w:p>
        </w:tc>
        <w:tc>
          <w:tcPr>
            <w:tcW w:w="2169" w:type="dxa"/>
            <w:hideMark/>
          </w:tcPr>
          <w:p w14:paraId="181807F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0.019</w:t>
            </w:r>
          </w:p>
        </w:tc>
        <w:tc>
          <w:tcPr>
            <w:tcW w:w="2263" w:type="dxa"/>
            <w:hideMark/>
          </w:tcPr>
          <w:p w14:paraId="6CF54BC4"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0.001-0.512</w:t>
            </w:r>
          </w:p>
        </w:tc>
        <w:tc>
          <w:tcPr>
            <w:tcW w:w="1652" w:type="dxa"/>
            <w:hideMark/>
          </w:tcPr>
          <w:p w14:paraId="19688648"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0.018</w:t>
            </w:r>
          </w:p>
        </w:tc>
      </w:tr>
      <w:tr w:rsidR="00B424FD" w:rsidRPr="00B424FD" w14:paraId="4C139193" w14:textId="77777777" w:rsidTr="00B424FD">
        <w:trPr>
          <w:jc w:val="center"/>
        </w:trPr>
        <w:tc>
          <w:tcPr>
            <w:tcW w:w="2780" w:type="dxa"/>
            <w:hideMark/>
          </w:tcPr>
          <w:p w14:paraId="08F5639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Noninvasive ventilation</w:t>
            </w:r>
          </w:p>
        </w:tc>
        <w:tc>
          <w:tcPr>
            <w:tcW w:w="2169" w:type="dxa"/>
            <w:hideMark/>
          </w:tcPr>
          <w:p w14:paraId="48FB1C3B"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0.031</w:t>
            </w:r>
          </w:p>
        </w:tc>
        <w:tc>
          <w:tcPr>
            <w:tcW w:w="2263" w:type="dxa"/>
            <w:hideMark/>
          </w:tcPr>
          <w:p w14:paraId="6476E4FD"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0.001–1.386</w:t>
            </w:r>
          </w:p>
        </w:tc>
        <w:tc>
          <w:tcPr>
            <w:tcW w:w="1652" w:type="dxa"/>
            <w:hideMark/>
          </w:tcPr>
          <w:p w14:paraId="403BAAC8"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0.073</w:t>
            </w:r>
          </w:p>
        </w:tc>
      </w:tr>
      <w:tr w:rsidR="00B424FD" w:rsidRPr="00B424FD" w14:paraId="524A612C" w14:textId="77777777" w:rsidTr="00B424FD">
        <w:trPr>
          <w:trHeight w:val="109"/>
          <w:jc w:val="center"/>
        </w:trPr>
        <w:tc>
          <w:tcPr>
            <w:tcW w:w="2780" w:type="dxa"/>
            <w:hideMark/>
          </w:tcPr>
          <w:p w14:paraId="25C482DB"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Intubation</w:t>
            </w:r>
          </w:p>
        </w:tc>
        <w:tc>
          <w:tcPr>
            <w:tcW w:w="2169" w:type="dxa"/>
            <w:hideMark/>
          </w:tcPr>
          <w:p w14:paraId="7EDCC5D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223,89</w:t>
            </w:r>
          </w:p>
        </w:tc>
        <w:tc>
          <w:tcPr>
            <w:tcW w:w="2263" w:type="dxa"/>
            <w:hideMark/>
          </w:tcPr>
          <w:p w14:paraId="769F222B"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4.81–10,415</w:t>
            </w:r>
          </w:p>
        </w:tc>
        <w:tc>
          <w:tcPr>
            <w:tcW w:w="1652" w:type="dxa"/>
            <w:hideMark/>
          </w:tcPr>
          <w:p w14:paraId="51EED411"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0.006</w:t>
            </w:r>
          </w:p>
        </w:tc>
      </w:tr>
      <w:tr w:rsidR="00B424FD" w:rsidRPr="00B424FD" w14:paraId="65B033BF" w14:textId="77777777" w:rsidTr="00B424FD">
        <w:trPr>
          <w:jc w:val="center"/>
        </w:trPr>
        <w:tc>
          <w:tcPr>
            <w:tcW w:w="2780" w:type="dxa"/>
            <w:hideMark/>
          </w:tcPr>
          <w:p w14:paraId="0A7EBC64"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PaO2/FiO2 ratio (mmHg)</w:t>
            </w:r>
          </w:p>
        </w:tc>
        <w:tc>
          <w:tcPr>
            <w:tcW w:w="2169" w:type="dxa"/>
            <w:hideMark/>
          </w:tcPr>
          <w:p w14:paraId="3B0DEEEB"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0.986</w:t>
            </w:r>
          </w:p>
        </w:tc>
        <w:tc>
          <w:tcPr>
            <w:tcW w:w="2263" w:type="dxa"/>
            <w:hideMark/>
          </w:tcPr>
          <w:p w14:paraId="209375C1"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0.981–0.992</w:t>
            </w:r>
          </w:p>
        </w:tc>
        <w:tc>
          <w:tcPr>
            <w:tcW w:w="1652" w:type="dxa"/>
            <w:hideMark/>
          </w:tcPr>
          <w:p w14:paraId="5419326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0.001</w:t>
            </w:r>
          </w:p>
        </w:tc>
      </w:tr>
      <w:tr w:rsidR="00B424FD" w:rsidRPr="00B424FD" w14:paraId="7C7F8BC0" w14:textId="77777777" w:rsidTr="00B424FD">
        <w:trPr>
          <w:jc w:val="center"/>
        </w:trPr>
        <w:tc>
          <w:tcPr>
            <w:tcW w:w="2780" w:type="dxa"/>
            <w:hideMark/>
          </w:tcPr>
          <w:p w14:paraId="33BE1069"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Creatinine (mg/mL)</w:t>
            </w:r>
          </w:p>
        </w:tc>
        <w:tc>
          <w:tcPr>
            <w:tcW w:w="2169" w:type="dxa"/>
            <w:hideMark/>
          </w:tcPr>
          <w:p w14:paraId="1D8866CF"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1.236</w:t>
            </w:r>
          </w:p>
        </w:tc>
        <w:tc>
          <w:tcPr>
            <w:tcW w:w="2263" w:type="dxa"/>
            <w:hideMark/>
          </w:tcPr>
          <w:p w14:paraId="14DCE4CD"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 xml:space="preserve"> 1.067–z  1.432</w:t>
            </w:r>
          </w:p>
        </w:tc>
        <w:tc>
          <w:tcPr>
            <w:tcW w:w="1652" w:type="dxa"/>
          </w:tcPr>
          <w:p w14:paraId="79423887" w14:textId="77777777" w:rsidR="00B424FD" w:rsidRPr="00B424FD" w:rsidRDefault="00B424FD" w:rsidP="00B424FD">
            <w:pPr>
              <w:bidi w:val="0"/>
              <w:rPr>
                <w:rFonts w:asciiTheme="majorBidi" w:hAnsiTheme="majorBidi" w:cstheme="majorBidi"/>
                <w:sz w:val="20"/>
                <w:szCs w:val="20"/>
              </w:rPr>
            </w:pPr>
          </w:p>
        </w:tc>
      </w:tr>
      <w:tr w:rsidR="00B424FD" w:rsidRPr="00B424FD" w14:paraId="25668F42" w14:textId="77777777" w:rsidTr="00B424FD">
        <w:trPr>
          <w:jc w:val="center"/>
        </w:trPr>
        <w:tc>
          <w:tcPr>
            <w:tcW w:w="2780" w:type="dxa"/>
            <w:hideMark/>
          </w:tcPr>
          <w:p w14:paraId="44213691"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Troponine (pg/l)</w:t>
            </w:r>
          </w:p>
        </w:tc>
        <w:tc>
          <w:tcPr>
            <w:tcW w:w="2169" w:type="dxa"/>
            <w:hideMark/>
          </w:tcPr>
          <w:p w14:paraId="49372F38"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1.000</w:t>
            </w:r>
          </w:p>
        </w:tc>
        <w:tc>
          <w:tcPr>
            <w:tcW w:w="2263" w:type="dxa"/>
            <w:hideMark/>
          </w:tcPr>
          <w:p w14:paraId="651B495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1.000–1.000</w:t>
            </w:r>
          </w:p>
        </w:tc>
        <w:tc>
          <w:tcPr>
            <w:tcW w:w="1652" w:type="dxa"/>
          </w:tcPr>
          <w:p w14:paraId="62D87753" w14:textId="77777777" w:rsidR="00B424FD" w:rsidRPr="00B424FD" w:rsidRDefault="00B424FD" w:rsidP="00B424FD">
            <w:pPr>
              <w:bidi w:val="0"/>
              <w:rPr>
                <w:rFonts w:asciiTheme="majorBidi" w:hAnsiTheme="majorBidi" w:cstheme="majorBidi"/>
                <w:sz w:val="20"/>
                <w:szCs w:val="20"/>
              </w:rPr>
            </w:pPr>
          </w:p>
        </w:tc>
      </w:tr>
      <w:tr w:rsidR="00B424FD" w:rsidRPr="00B424FD" w14:paraId="684D6A55" w14:textId="77777777" w:rsidTr="00B424FD">
        <w:trPr>
          <w:jc w:val="center"/>
        </w:trPr>
        <w:tc>
          <w:tcPr>
            <w:tcW w:w="2780" w:type="dxa"/>
            <w:hideMark/>
          </w:tcPr>
          <w:p w14:paraId="6A92A43A"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D-dimer (ng/ml)</w:t>
            </w:r>
          </w:p>
        </w:tc>
        <w:tc>
          <w:tcPr>
            <w:tcW w:w="2169" w:type="dxa"/>
            <w:hideMark/>
          </w:tcPr>
          <w:p w14:paraId="16B32954"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1.000</w:t>
            </w:r>
          </w:p>
        </w:tc>
        <w:tc>
          <w:tcPr>
            <w:tcW w:w="2263" w:type="dxa"/>
            <w:hideMark/>
          </w:tcPr>
          <w:p w14:paraId="72453056"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1.000–1.001</w:t>
            </w:r>
          </w:p>
        </w:tc>
        <w:tc>
          <w:tcPr>
            <w:tcW w:w="1652" w:type="dxa"/>
          </w:tcPr>
          <w:p w14:paraId="635C559E" w14:textId="77777777" w:rsidR="00B424FD" w:rsidRPr="00B424FD" w:rsidRDefault="00B424FD" w:rsidP="00B424FD">
            <w:pPr>
              <w:bidi w:val="0"/>
              <w:rPr>
                <w:rFonts w:asciiTheme="majorBidi" w:hAnsiTheme="majorBidi" w:cstheme="majorBidi"/>
                <w:sz w:val="20"/>
                <w:szCs w:val="20"/>
              </w:rPr>
            </w:pPr>
          </w:p>
        </w:tc>
      </w:tr>
      <w:tr w:rsidR="00B424FD" w:rsidRPr="00B424FD" w14:paraId="757DFCBF" w14:textId="77777777" w:rsidTr="00B424FD">
        <w:trPr>
          <w:jc w:val="center"/>
        </w:trPr>
        <w:tc>
          <w:tcPr>
            <w:tcW w:w="2780" w:type="dxa"/>
            <w:hideMark/>
          </w:tcPr>
          <w:p w14:paraId="7CF53A35"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C-reactive protein (mg/dl)</w:t>
            </w:r>
          </w:p>
        </w:tc>
        <w:tc>
          <w:tcPr>
            <w:tcW w:w="2169" w:type="dxa"/>
            <w:hideMark/>
          </w:tcPr>
          <w:p w14:paraId="66C702B4"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1.014</w:t>
            </w:r>
          </w:p>
        </w:tc>
        <w:tc>
          <w:tcPr>
            <w:tcW w:w="2263" w:type="dxa"/>
            <w:hideMark/>
          </w:tcPr>
          <w:p w14:paraId="7BBFB28A"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1.004–1.024</w:t>
            </w:r>
          </w:p>
        </w:tc>
        <w:tc>
          <w:tcPr>
            <w:tcW w:w="1652" w:type="dxa"/>
          </w:tcPr>
          <w:p w14:paraId="043161B5" w14:textId="77777777" w:rsidR="00B424FD" w:rsidRPr="00B424FD" w:rsidRDefault="00B424FD" w:rsidP="00B424FD">
            <w:pPr>
              <w:bidi w:val="0"/>
              <w:rPr>
                <w:rFonts w:asciiTheme="majorBidi" w:hAnsiTheme="majorBidi" w:cstheme="majorBidi"/>
                <w:sz w:val="20"/>
                <w:szCs w:val="20"/>
              </w:rPr>
            </w:pPr>
          </w:p>
        </w:tc>
      </w:tr>
      <w:tr w:rsidR="00B424FD" w:rsidRPr="00B424FD" w14:paraId="2083A5B7" w14:textId="77777777" w:rsidTr="00B424FD">
        <w:trPr>
          <w:jc w:val="center"/>
        </w:trPr>
        <w:tc>
          <w:tcPr>
            <w:tcW w:w="2780" w:type="dxa"/>
            <w:hideMark/>
          </w:tcPr>
          <w:p w14:paraId="7D561ABA"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LVEDd (mm)</w:t>
            </w:r>
          </w:p>
        </w:tc>
        <w:tc>
          <w:tcPr>
            <w:tcW w:w="2169" w:type="dxa"/>
            <w:hideMark/>
          </w:tcPr>
          <w:p w14:paraId="6B4C4EA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1.031</w:t>
            </w:r>
          </w:p>
        </w:tc>
        <w:tc>
          <w:tcPr>
            <w:tcW w:w="2263" w:type="dxa"/>
            <w:hideMark/>
          </w:tcPr>
          <w:p w14:paraId="6971301B"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0.948-1.121</w:t>
            </w:r>
          </w:p>
        </w:tc>
        <w:tc>
          <w:tcPr>
            <w:tcW w:w="1652" w:type="dxa"/>
            <w:hideMark/>
          </w:tcPr>
          <w:p w14:paraId="364F6FE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0.473</w:t>
            </w:r>
          </w:p>
        </w:tc>
      </w:tr>
      <w:tr w:rsidR="00B424FD" w:rsidRPr="00B424FD" w14:paraId="7CC5FB83" w14:textId="77777777" w:rsidTr="00B424FD">
        <w:trPr>
          <w:jc w:val="center"/>
        </w:trPr>
        <w:tc>
          <w:tcPr>
            <w:tcW w:w="2780" w:type="dxa"/>
            <w:hideMark/>
          </w:tcPr>
          <w:p w14:paraId="75791FF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LVESd(mm)</w:t>
            </w:r>
          </w:p>
        </w:tc>
        <w:tc>
          <w:tcPr>
            <w:tcW w:w="2169" w:type="dxa"/>
            <w:hideMark/>
          </w:tcPr>
          <w:p w14:paraId="42CB3ED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1.039</w:t>
            </w:r>
          </w:p>
        </w:tc>
        <w:tc>
          <w:tcPr>
            <w:tcW w:w="2263" w:type="dxa"/>
            <w:hideMark/>
          </w:tcPr>
          <w:p w14:paraId="0A35786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0.99-1.091</w:t>
            </w:r>
          </w:p>
        </w:tc>
        <w:tc>
          <w:tcPr>
            <w:tcW w:w="1652" w:type="dxa"/>
            <w:hideMark/>
          </w:tcPr>
          <w:p w14:paraId="4057A0F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 xml:space="preserve">0.123  </w:t>
            </w:r>
          </w:p>
        </w:tc>
      </w:tr>
      <w:tr w:rsidR="00B424FD" w:rsidRPr="00B424FD" w14:paraId="6F4BD362" w14:textId="77777777" w:rsidTr="00B424FD">
        <w:trPr>
          <w:jc w:val="center"/>
        </w:trPr>
        <w:tc>
          <w:tcPr>
            <w:tcW w:w="2780" w:type="dxa"/>
            <w:hideMark/>
          </w:tcPr>
          <w:p w14:paraId="524ED91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LAD(mm)</w:t>
            </w:r>
          </w:p>
        </w:tc>
        <w:tc>
          <w:tcPr>
            <w:tcW w:w="2169" w:type="dxa"/>
            <w:hideMark/>
          </w:tcPr>
          <w:p w14:paraId="35EBDF1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1.066</w:t>
            </w:r>
          </w:p>
        </w:tc>
        <w:tc>
          <w:tcPr>
            <w:tcW w:w="2263" w:type="dxa"/>
            <w:hideMark/>
          </w:tcPr>
          <w:p w14:paraId="34D9452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0.995-1.143</w:t>
            </w:r>
          </w:p>
        </w:tc>
        <w:tc>
          <w:tcPr>
            <w:tcW w:w="1652" w:type="dxa"/>
            <w:hideMark/>
          </w:tcPr>
          <w:p w14:paraId="0E3DAE13"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 xml:space="preserve">0.068 </w:t>
            </w:r>
          </w:p>
        </w:tc>
      </w:tr>
      <w:tr w:rsidR="00B424FD" w:rsidRPr="00B424FD" w14:paraId="7E25C8C4" w14:textId="77777777" w:rsidTr="00B424FD">
        <w:trPr>
          <w:jc w:val="center"/>
        </w:trPr>
        <w:tc>
          <w:tcPr>
            <w:tcW w:w="2780" w:type="dxa"/>
            <w:hideMark/>
          </w:tcPr>
          <w:p w14:paraId="4AF9578E"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LVEF (%)</w:t>
            </w:r>
          </w:p>
        </w:tc>
        <w:tc>
          <w:tcPr>
            <w:tcW w:w="2169" w:type="dxa"/>
            <w:hideMark/>
          </w:tcPr>
          <w:p w14:paraId="5AA0AD4A"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0.972</w:t>
            </w:r>
          </w:p>
        </w:tc>
        <w:tc>
          <w:tcPr>
            <w:tcW w:w="2263" w:type="dxa"/>
            <w:hideMark/>
          </w:tcPr>
          <w:p w14:paraId="6124CD64"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0.934-1.011</w:t>
            </w:r>
          </w:p>
        </w:tc>
        <w:tc>
          <w:tcPr>
            <w:tcW w:w="1652" w:type="dxa"/>
            <w:hideMark/>
          </w:tcPr>
          <w:p w14:paraId="5BE8698A"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 xml:space="preserve">0.151 </w:t>
            </w:r>
          </w:p>
        </w:tc>
      </w:tr>
      <w:tr w:rsidR="00B424FD" w:rsidRPr="00B424FD" w14:paraId="0B013A05" w14:textId="77777777" w:rsidTr="00B424FD">
        <w:trPr>
          <w:jc w:val="center"/>
        </w:trPr>
        <w:tc>
          <w:tcPr>
            <w:tcW w:w="2780" w:type="dxa"/>
            <w:hideMark/>
          </w:tcPr>
          <w:p w14:paraId="0A940E27"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Severe TR</w:t>
            </w:r>
          </w:p>
        </w:tc>
        <w:tc>
          <w:tcPr>
            <w:tcW w:w="2169" w:type="dxa"/>
            <w:hideMark/>
          </w:tcPr>
          <w:p w14:paraId="6CEFA6E3"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2.671</w:t>
            </w:r>
          </w:p>
        </w:tc>
        <w:tc>
          <w:tcPr>
            <w:tcW w:w="2263" w:type="dxa"/>
            <w:hideMark/>
          </w:tcPr>
          <w:p w14:paraId="40E23F9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0.798-8.95</w:t>
            </w:r>
          </w:p>
        </w:tc>
        <w:tc>
          <w:tcPr>
            <w:tcW w:w="1652" w:type="dxa"/>
            <w:hideMark/>
          </w:tcPr>
          <w:p w14:paraId="42AD3CC5"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0.111</w:t>
            </w:r>
          </w:p>
        </w:tc>
      </w:tr>
      <w:tr w:rsidR="00B424FD" w:rsidRPr="00B424FD" w14:paraId="77E67B0A" w14:textId="77777777" w:rsidTr="00B424FD">
        <w:trPr>
          <w:jc w:val="center"/>
        </w:trPr>
        <w:tc>
          <w:tcPr>
            <w:tcW w:w="2780" w:type="dxa"/>
            <w:hideMark/>
          </w:tcPr>
          <w:p w14:paraId="491B8D3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TAPSE (mm)</w:t>
            </w:r>
          </w:p>
        </w:tc>
        <w:tc>
          <w:tcPr>
            <w:tcW w:w="2169" w:type="dxa"/>
            <w:hideMark/>
          </w:tcPr>
          <w:p w14:paraId="41061236"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0.796</w:t>
            </w:r>
          </w:p>
        </w:tc>
        <w:tc>
          <w:tcPr>
            <w:tcW w:w="2263" w:type="dxa"/>
            <w:hideMark/>
          </w:tcPr>
          <w:p w14:paraId="20F56C2C"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0.727-0.871</w:t>
            </w:r>
          </w:p>
        </w:tc>
        <w:tc>
          <w:tcPr>
            <w:tcW w:w="1652" w:type="dxa"/>
            <w:hideMark/>
          </w:tcPr>
          <w:p w14:paraId="0243A390"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&lt;0.001</w:t>
            </w:r>
          </w:p>
        </w:tc>
      </w:tr>
      <w:tr w:rsidR="00B424FD" w:rsidRPr="00B424FD" w14:paraId="67667ABC" w14:textId="77777777" w:rsidTr="00B424FD">
        <w:trPr>
          <w:jc w:val="center"/>
        </w:trPr>
        <w:tc>
          <w:tcPr>
            <w:tcW w:w="2780" w:type="dxa"/>
            <w:hideMark/>
          </w:tcPr>
          <w:p w14:paraId="600B2386"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PASP (mm Hg)</w:t>
            </w:r>
          </w:p>
        </w:tc>
        <w:tc>
          <w:tcPr>
            <w:tcW w:w="2169" w:type="dxa"/>
            <w:hideMark/>
          </w:tcPr>
          <w:p w14:paraId="265EA3DF"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1.085</w:t>
            </w:r>
          </w:p>
        </w:tc>
        <w:tc>
          <w:tcPr>
            <w:tcW w:w="2263" w:type="dxa"/>
            <w:hideMark/>
          </w:tcPr>
          <w:p w14:paraId="17C173D6"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1.054-1.118</w:t>
            </w:r>
          </w:p>
        </w:tc>
        <w:tc>
          <w:tcPr>
            <w:tcW w:w="1652" w:type="dxa"/>
            <w:hideMark/>
          </w:tcPr>
          <w:p w14:paraId="738599B4" w14:textId="77777777" w:rsidR="00B424FD" w:rsidRPr="00B424FD" w:rsidRDefault="00B424FD" w:rsidP="00B424FD">
            <w:pPr>
              <w:bidi w:val="0"/>
              <w:rPr>
                <w:rFonts w:asciiTheme="majorBidi" w:hAnsiTheme="majorBidi" w:cstheme="majorBidi"/>
                <w:sz w:val="20"/>
                <w:szCs w:val="20"/>
              </w:rPr>
            </w:pPr>
            <w:r w:rsidRPr="00B424FD">
              <w:rPr>
                <w:rFonts w:asciiTheme="majorBidi" w:hAnsiTheme="majorBidi" w:cstheme="majorBidi"/>
                <w:sz w:val="20"/>
                <w:szCs w:val="20"/>
              </w:rPr>
              <w:t>&lt;0.001</w:t>
            </w:r>
          </w:p>
        </w:tc>
      </w:tr>
    </w:tbl>
    <w:p w14:paraId="6B53134C" w14:textId="77777777" w:rsidR="00B424FD" w:rsidRPr="0057661C" w:rsidRDefault="00B424FD" w:rsidP="00B424FD">
      <w:pPr>
        <w:tabs>
          <w:tab w:val="left" w:pos="720"/>
          <w:tab w:val="left" w:pos="1440"/>
          <w:tab w:val="left" w:pos="2160"/>
          <w:tab w:val="left" w:pos="2880"/>
          <w:tab w:val="left" w:pos="3600"/>
          <w:tab w:val="left" w:pos="4320"/>
          <w:tab w:val="left" w:pos="5040"/>
          <w:tab w:val="right" w:pos="8309"/>
        </w:tabs>
        <w:bidi w:val="0"/>
        <w:spacing w:after="0" w:line="240" w:lineRule="auto"/>
        <w:rPr>
          <w:rFonts w:asciiTheme="majorBidi" w:eastAsia="Calibri" w:hAnsiTheme="majorBidi" w:cstheme="majorBidi"/>
          <w:b/>
          <w:bCs/>
          <w:sz w:val="20"/>
          <w:szCs w:val="20"/>
        </w:rPr>
      </w:pPr>
      <w:r w:rsidRPr="0057661C">
        <w:rPr>
          <w:rFonts w:asciiTheme="majorBidi" w:eastAsia="Calibri" w:hAnsiTheme="majorBidi" w:cstheme="majorBidi"/>
          <w:b/>
          <w:bCs/>
          <w:sz w:val="20"/>
          <w:szCs w:val="20"/>
        </w:rPr>
        <w:t>TAPSE/PASP (mm/mmHg)         0.013       0.002-0.069       &lt;0.001</w:t>
      </w:r>
    </w:p>
    <w:p w14:paraId="44DECBF1" w14:textId="7190ABAA" w:rsidR="00F75D97" w:rsidRDefault="00F75D97" w:rsidP="00B219F9">
      <w:pPr>
        <w:tabs>
          <w:tab w:val="left" w:pos="720"/>
          <w:tab w:val="left" w:pos="1440"/>
          <w:tab w:val="left" w:pos="2160"/>
          <w:tab w:val="left" w:pos="2880"/>
          <w:tab w:val="left" w:pos="3600"/>
          <w:tab w:val="left" w:pos="4320"/>
          <w:tab w:val="left" w:pos="5040"/>
          <w:tab w:val="right" w:pos="8309"/>
        </w:tabs>
        <w:bidi w:val="0"/>
        <w:spacing w:after="0" w:line="240" w:lineRule="auto"/>
        <w:jc w:val="center"/>
        <w:rPr>
          <w:rFonts w:asciiTheme="majorBidi" w:eastAsia="Calibri" w:hAnsiTheme="majorBidi" w:cstheme="majorBidi"/>
          <w:b/>
          <w:bCs/>
          <w:sz w:val="20"/>
          <w:szCs w:val="20"/>
        </w:rPr>
      </w:pPr>
    </w:p>
    <w:p w14:paraId="29D9887C" w14:textId="35B49208" w:rsidR="00335BB4" w:rsidRDefault="00335BB4" w:rsidP="00335BB4">
      <w:pPr>
        <w:tabs>
          <w:tab w:val="left" w:pos="720"/>
          <w:tab w:val="left" w:pos="1440"/>
          <w:tab w:val="left" w:pos="2160"/>
          <w:tab w:val="left" w:pos="2880"/>
          <w:tab w:val="left" w:pos="3600"/>
          <w:tab w:val="left" w:pos="4320"/>
          <w:tab w:val="left" w:pos="5040"/>
          <w:tab w:val="right" w:pos="8309"/>
        </w:tabs>
        <w:bidi w:val="0"/>
        <w:spacing w:after="0" w:line="240" w:lineRule="auto"/>
        <w:jc w:val="center"/>
        <w:rPr>
          <w:rFonts w:asciiTheme="majorBidi" w:eastAsia="Calibri" w:hAnsiTheme="majorBidi" w:cstheme="majorBidi"/>
          <w:b/>
          <w:bCs/>
          <w:sz w:val="20"/>
          <w:szCs w:val="20"/>
        </w:rPr>
      </w:pPr>
    </w:p>
    <w:bookmarkEnd w:id="0"/>
    <w:p w14:paraId="498CF721" w14:textId="77777777" w:rsidR="0057661C" w:rsidRDefault="0057661C" w:rsidP="0057661C">
      <w:pPr>
        <w:autoSpaceDE w:val="0"/>
        <w:autoSpaceDN w:val="0"/>
        <w:bidi w:val="0"/>
        <w:adjustRightInd w:val="0"/>
        <w:spacing w:after="0" w:line="240" w:lineRule="auto"/>
        <w:jc w:val="both"/>
        <w:rPr>
          <w:rFonts w:asciiTheme="majorBidi" w:eastAsiaTheme="minorHAnsi" w:hAnsiTheme="majorBidi" w:cstheme="majorBidi"/>
          <w:b/>
          <w:bCs/>
          <w:sz w:val="20"/>
          <w:szCs w:val="20"/>
        </w:rPr>
        <w:sectPr w:rsidR="0057661C" w:rsidSect="0057661C">
          <w:type w:val="continuous"/>
          <w:pgSz w:w="11906" w:h="16838"/>
          <w:pgMar w:top="1440" w:right="1800" w:bottom="1440" w:left="1800" w:header="720" w:footer="720" w:gutter="0"/>
          <w:pgNumType w:start="1"/>
          <w:cols w:space="709"/>
          <w:titlePg/>
          <w:rtlGutter/>
          <w:docGrid w:linePitch="360"/>
        </w:sectPr>
      </w:pPr>
    </w:p>
    <w:p w14:paraId="50E5EFBD" w14:textId="23FD5AB1" w:rsidR="00A42C85" w:rsidRPr="0057661C" w:rsidRDefault="00F9597C" w:rsidP="0057661C">
      <w:pPr>
        <w:autoSpaceDE w:val="0"/>
        <w:autoSpaceDN w:val="0"/>
        <w:bidi w:val="0"/>
        <w:adjustRightInd w:val="0"/>
        <w:spacing w:after="0" w:line="240" w:lineRule="auto"/>
        <w:jc w:val="both"/>
        <w:rPr>
          <w:rFonts w:asciiTheme="majorBidi" w:eastAsiaTheme="minorHAnsi" w:hAnsiTheme="majorBidi" w:cstheme="majorBidi"/>
          <w:sz w:val="20"/>
          <w:szCs w:val="20"/>
        </w:rPr>
      </w:pPr>
      <w:r w:rsidRPr="0057661C">
        <w:rPr>
          <w:rFonts w:asciiTheme="majorBidi" w:eastAsiaTheme="minorHAnsi" w:hAnsiTheme="majorBidi" w:cstheme="majorBidi"/>
          <w:b/>
          <w:bCs/>
          <w:sz w:val="20"/>
          <w:szCs w:val="20"/>
        </w:rPr>
        <w:t xml:space="preserve">4. </w:t>
      </w:r>
      <w:r w:rsidR="003730F1" w:rsidRPr="0057661C">
        <w:rPr>
          <w:rFonts w:asciiTheme="majorBidi" w:eastAsiaTheme="minorHAnsi" w:hAnsiTheme="majorBidi" w:cstheme="majorBidi"/>
          <w:b/>
          <w:bCs/>
          <w:sz w:val="20"/>
          <w:szCs w:val="20"/>
        </w:rPr>
        <w:t>Conclusion</w:t>
      </w:r>
      <w:r w:rsidR="003730F1" w:rsidRPr="0057661C">
        <w:rPr>
          <w:rFonts w:asciiTheme="majorBidi" w:eastAsiaTheme="minorHAnsi" w:hAnsiTheme="majorBidi" w:cstheme="majorBidi"/>
          <w:sz w:val="20"/>
          <w:szCs w:val="20"/>
        </w:rPr>
        <w:t xml:space="preserve">  </w:t>
      </w:r>
    </w:p>
    <w:p w14:paraId="2C14691F" w14:textId="2D998F20" w:rsidR="003730F1" w:rsidRPr="0057661C" w:rsidRDefault="00D67FF7" w:rsidP="0057661C">
      <w:pPr>
        <w:autoSpaceDE w:val="0"/>
        <w:autoSpaceDN w:val="0"/>
        <w:bidi w:val="0"/>
        <w:adjustRightInd w:val="0"/>
        <w:spacing w:after="0" w:line="240" w:lineRule="auto"/>
        <w:ind w:firstLine="360"/>
        <w:jc w:val="both"/>
        <w:rPr>
          <w:rFonts w:asciiTheme="majorBidi" w:eastAsiaTheme="minorHAnsi" w:hAnsiTheme="majorBidi" w:cstheme="majorBidi"/>
          <w:sz w:val="20"/>
          <w:szCs w:val="20"/>
        </w:rPr>
      </w:pPr>
      <w:r>
        <w:rPr>
          <w:rFonts w:asciiTheme="majorBidi" w:eastAsiaTheme="minorHAnsi" w:hAnsiTheme="majorBidi" w:cstheme="majorBidi"/>
          <w:sz w:val="20"/>
          <w:szCs w:val="20"/>
        </w:rPr>
        <w:t>COVID-19-induced ARDS is linked with right ventricular-arterial uncoupling, and noninvasive evaluation of this state utilizing the TAPSE/PASP ratio provides useful and independent prognostic information in addition to the PaO2/FIO2 ratio. The necessity of incorporating bedside echocardiography into the assessment and treatment of COVID-19 patients in the ICU is highlighted by these results.</w:t>
      </w:r>
    </w:p>
    <w:p w14:paraId="2611A168" w14:textId="0A7F75EE" w:rsidR="003730F1" w:rsidRPr="0057661C" w:rsidRDefault="003730F1" w:rsidP="0057661C">
      <w:pPr>
        <w:bidi w:val="0"/>
        <w:spacing w:after="0" w:line="240" w:lineRule="auto"/>
        <w:jc w:val="both"/>
        <w:rPr>
          <w:rFonts w:asciiTheme="majorBidi" w:eastAsiaTheme="minorHAnsi" w:hAnsiTheme="majorBidi" w:cstheme="majorBidi"/>
          <w:b/>
          <w:bCs/>
          <w:sz w:val="20"/>
          <w:szCs w:val="20"/>
          <w:lang w:bidi="ar-EG"/>
        </w:rPr>
      </w:pPr>
      <w:r w:rsidRPr="0057661C">
        <w:rPr>
          <w:rFonts w:asciiTheme="majorBidi" w:eastAsiaTheme="minorHAnsi" w:hAnsiTheme="majorBidi" w:cstheme="majorBidi"/>
          <w:b/>
          <w:bCs/>
          <w:sz w:val="20"/>
          <w:szCs w:val="20"/>
          <w:lang w:bidi="ar-EG"/>
        </w:rPr>
        <w:t>References</w:t>
      </w:r>
    </w:p>
    <w:p w14:paraId="44E7FC2C" w14:textId="18947526" w:rsidR="00EF52DE" w:rsidRPr="0057661C" w:rsidRDefault="00D10BF5" w:rsidP="0057661C">
      <w:pPr>
        <w:pStyle w:val="ListParagraph"/>
        <w:numPr>
          <w:ilvl w:val="0"/>
          <w:numId w:val="15"/>
        </w:numPr>
        <w:bidi w:val="0"/>
        <w:spacing w:after="0" w:line="240" w:lineRule="auto"/>
        <w:ind w:left="54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G. Grasselli, A. Zangrillo, A. Zanella, COVID-19 lombardy ICU network. Baseline characteristics and outcomes of 1591 patients infected with SARS-CoV-2 admitted to ICUs of the Lombardy region, Italy. JAMA, vol. 323, 1574–81, 2020.</w:t>
      </w:r>
    </w:p>
    <w:p w14:paraId="5D642E3C" w14:textId="125EF113" w:rsidR="00EF52DE" w:rsidRPr="0057661C" w:rsidRDefault="00D10BF5" w:rsidP="0057661C">
      <w:pPr>
        <w:pStyle w:val="ListParagraph"/>
        <w:numPr>
          <w:ilvl w:val="0"/>
          <w:numId w:val="15"/>
        </w:numPr>
        <w:autoSpaceDE w:val="0"/>
        <w:autoSpaceDN w:val="0"/>
        <w:bidi w:val="0"/>
        <w:adjustRightInd w:val="0"/>
        <w:spacing w:after="0" w:line="240" w:lineRule="auto"/>
        <w:ind w:left="54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Y.Li</w:t>
      </w:r>
      <w:r w:rsidR="00121695" w:rsidRPr="0057661C">
        <w:rPr>
          <w:rFonts w:asciiTheme="majorBidi" w:eastAsiaTheme="minorHAnsi" w:hAnsiTheme="majorBidi" w:cstheme="majorBidi"/>
          <w:sz w:val="20"/>
          <w:szCs w:val="20"/>
          <w:lang w:bidi="ar-EG"/>
        </w:rPr>
        <w:t xml:space="preserve">, </w:t>
      </w:r>
      <w:r w:rsidRPr="0057661C">
        <w:rPr>
          <w:rFonts w:asciiTheme="majorBidi" w:eastAsiaTheme="minorHAnsi" w:hAnsiTheme="majorBidi" w:cstheme="majorBidi"/>
          <w:sz w:val="20"/>
          <w:szCs w:val="20"/>
          <w:lang w:bidi="ar-EG"/>
        </w:rPr>
        <w:t>H.Li</w:t>
      </w:r>
      <w:r w:rsidR="00121695" w:rsidRPr="0057661C">
        <w:rPr>
          <w:rFonts w:asciiTheme="majorBidi" w:eastAsiaTheme="minorHAnsi" w:hAnsiTheme="majorBidi" w:cstheme="majorBidi"/>
          <w:sz w:val="20"/>
          <w:szCs w:val="20"/>
          <w:lang w:bidi="ar-EG"/>
        </w:rPr>
        <w:t xml:space="preserve">, </w:t>
      </w:r>
      <w:r w:rsidRPr="0057661C">
        <w:rPr>
          <w:rFonts w:asciiTheme="majorBidi" w:eastAsiaTheme="minorHAnsi" w:hAnsiTheme="majorBidi" w:cstheme="majorBidi"/>
          <w:sz w:val="20"/>
          <w:szCs w:val="20"/>
          <w:lang w:bidi="ar-EG"/>
        </w:rPr>
        <w:t>S.Zhu, Prognostic value of right ventricular longitudinal strain in patients with COVID-19. JACC Cardiovasc Imaging , 2020 .</w:t>
      </w:r>
    </w:p>
    <w:p w14:paraId="51D628DB" w14:textId="4DEA8A4A" w:rsidR="004B2CA9" w:rsidRPr="0057661C" w:rsidRDefault="004B2CA9" w:rsidP="0057661C">
      <w:pPr>
        <w:pStyle w:val="ListParagraph"/>
        <w:numPr>
          <w:ilvl w:val="0"/>
          <w:numId w:val="15"/>
        </w:numPr>
        <w:autoSpaceDE w:val="0"/>
        <w:autoSpaceDN w:val="0"/>
        <w:bidi w:val="0"/>
        <w:adjustRightInd w:val="0"/>
        <w:spacing w:after="0" w:line="240" w:lineRule="auto"/>
        <w:ind w:left="54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A.Vieillard-Baron</w:t>
      </w:r>
      <w:r w:rsidR="00616ECB"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LC.Price</w:t>
      </w:r>
      <w:r w:rsidR="00616ECB" w:rsidRPr="0057661C">
        <w:rPr>
          <w:rFonts w:asciiTheme="majorBidi" w:eastAsiaTheme="minorHAnsi" w:hAnsiTheme="majorBidi" w:cstheme="majorBidi"/>
          <w:sz w:val="20"/>
          <w:szCs w:val="20"/>
          <w:lang w:bidi="ar-EG"/>
        </w:rPr>
        <w:t xml:space="preserve">, </w:t>
      </w:r>
      <w:r w:rsidRPr="0057661C">
        <w:rPr>
          <w:rFonts w:asciiTheme="majorBidi" w:eastAsiaTheme="minorHAnsi" w:hAnsiTheme="majorBidi" w:cstheme="majorBidi"/>
          <w:sz w:val="20"/>
          <w:szCs w:val="20"/>
          <w:lang w:bidi="ar-EG"/>
        </w:rPr>
        <w:t xml:space="preserve">MA.Matthay, Acute cor pulmonale in ARDS. Intens Care Med., vol.39,pp.1836–8,2013. </w:t>
      </w:r>
    </w:p>
    <w:p w14:paraId="5B19E85E" w14:textId="39C82741" w:rsidR="00EF52DE" w:rsidRPr="0057661C" w:rsidRDefault="00D10BF5" w:rsidP="0057661C">
      <w:pPr>
        <w:pStyle w:val="ListParagraph"/>
        <w:numPr>
          <w:ilvl w:val="0"/>
          <w:numId w:val="15"/>
        </w:numPr>
        <w:autoSpaceDE w:val="0"/>
        <w:autoSpaceDN w:val="0"/>
        <w:bidi w:val="0"/>
        <w:adjustRightInd w:val="0"/>
        <w:spacing w:after="0" w:line="240" w:lineRule="auto"/>
        <w:ind w:left="54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BM.McQuillan</w:t>
      </w:r>
      <w:r w:rsidR="00616ECB"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MH.Picard, M.Levitt, AE.Weyman, Clinical correlates and</w:t>
      </w:r>
      <w:r w:rsidR="004B2CA9" w:rsidRPr="0057661C">
        <w:rPr>
          <w:rFonts w:asciiTheme="majorBidi" w:eastAsiaTheme="minorHAnsi" w:hAnsiTheme="majorBidi" w:cstheme="majorBidi"/>
          <w:sz w:val="20"/>
          <w:szCs w:val="20"/>
          <w:lang w:bidi="ar-EG"/>
        </w:rPr>
        <w:t xml:space="preserve"> reference intervals for pulmonary artery systolic pressure among echocardiographically normal subject. Circulation, vol.104, pp.2797–802,2001.</w:t>
      </w:r>
    </w:p>
    <w:p w14:paraId="00964D3F" w14:textId="4E96B171" w:rsidR="00EF52DE" w:rsidRPr="0057661C" w:rsidRDefault="00D10BF5" w:rsidP="0057661C">
      <w:pPr>
        <w:pStyle w:val="ListParagraph"/>
        <w:numPr>
          <w:ilvl w:val="0"/>
          <w:numId w:val="15"/>
        </w:numPr>
        <w:autoSpaceDE w:val="0"/>
        <w:autoSpaceDN w:val="0"/>
        <w:bidi w:val="0"/>
        <w:adjustRightInd w:val="0"/>
        <w:spacing w:after="0" w:line="240" w:lineRule="auto"/>
        <w:ind w:left="54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 xml:space="preserve">F.Ferrara,LG.Rudski, O.Vriz, L.Gargani, J.Afilalo, A.D’Andrea, M.D’Alto, </w:t>
      </w:r>
      <w:r w:rsidR="004B2CA9" w:rsidRPr="0057661C">
        <w:rPr>
          <w:rFonts w:asciiTheme="majorBidi" w:eastAsiaTheme="minorHAnsi" w:hAnsiTheme="majorBidi" w:cstheme="majorBidi"/>
          <w:sz w:val="20"/>
          <w:szCs w:val="20"/>
          <w:lang w:bidi="ar-EG"/>
        </w:rPr>
        <w:t>E.Acri, AA.Stanziola, , Physiologic correlates of tricuspid annular plane systolic excursion in 1168 healthy subjects. Int J Cardiol., 39,pp.223:736–43,2016.</w:t>
      </w:r>
    </w:p>
    <w:p w14:paraId="63782939" w14:textId="06222B2C" w:rsidR="003730F1" w:rsidRPr="0057661C" w:rsidRDefault="00D10BF5" w:rsidP="0057661C">
      <w:pPr>
        <w:pStyle w:val="ListParagraph"/>
        <w:numPr>
          <w:ilvl w:val="0"/>
          <w:numId w:val="15"/>
        </w:numPr>
        <w:autoSpaceDE w:val="0"/>
        <w:autoSpaceDN w:val="0"/>
        <w:bidi w:val="0"/>
        <w:adjustRightInd w:val="0"/>
        <w:spacing w:after="0" w:line="240" w:lineRule="auto"/>
        <w:ind w:left="54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M</w:t>
      </w:r>
      <w:r w:rsidR="004B2CA9"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Guazzi</w:t>
      </w:r>
      <w:r w:rsidR="00616ECB"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Use of TAPSE/PASP ratio in pulmonary arterial hypertension: an</w:t>
      </w:r>
      <w:r w:rsidR="004B2CA9" w:rsidRPr="0057661C">
        <w:rPr>
          <w:rFonts w:asciiTheme="majorBidi" w:eastAsiaTheme="minorHAnsi" w:hAnsiTheme="majorBidi" w:cstheme="majorBidi"/>
          <w:sz w:val="20"/>
          <w:szCs w:val="20"/>
          <w:lang w:bidi="ar-EG"/>
        </w:rPr>
        <w:t xml:space="preserve"> easy shortcut ina congested road. Int J Cardiol.,vol.4,pp.266:242,2018.</w:t>
      </w:r>
      <w:r w:rsidR="003730F1" w:rsidRPr="0057661C">
        <w:rPr>
          <w:rFonts w:asciiTheme="majorBidi" w:eastAsiaTheme="minorHAnsi" w:hAnsiTheme="majorBidi" w:cstheme="majorBidi"/>
          <w:sz w:val="20"/>
          <w:szCs w:val="20"/>
          <w:lang w:bidi="ar-EG"/>
        </w:rPr>
        <w:t>.</w:t>
      </w:r>
    </w:p>
    <w:p w14:paraId="13D2584F" w14:textId="67DEF8C5" w:rsidR="003730F1" w:rsidRPr="0057661C" w:rsidRDefault="00D10BF5" w:rsidP="0057661C">
      <w:pPr>
        <w:pStyle w:val="ListParagraph"/>
        <w:numPr>
          <w:ilvl w:val="0"/>
          <w:numId w:val="15"/>
        </w:numPr>
        <w:autoSpaceDE w:val="0"/>
        <w:autoSpaceDN w:val="0"/>
        <w:bidi w:val="0"/>
        <w:adjustRightInd w:val="0"/>
        <w:spacing w:after="0" w:line="240" w:lineRule="auto"/>
        <w:ind w:left="54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M</w:t>
      </w:r>
      <w:r w:rsidR="004B2CA9"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Guazzi</w:t>
      </w:r>
      <w:r w:rsidR="004B2CA9"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F</w:t>
      </w:r>
      <w:r w:rsidR="004B2CA9"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Bandera</w:t>
      </w:r>
      <w:r w:rsidR="004B2CA9"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G</w:t>
      </w:r>
      <w:r w:rsidR="004B2CA9"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Pelissero,</w:t>
      </w:r>
      <w:r w:rsidR="004B2CA9" w:rsidRPr="0057661C">
        <w:rPr>
          <w:rFonts w:asciiTheme="majorBidi" w:eastAsiaTheme="minorHAnsi" w:hAnsiTheme="majorBidi" w:cstheme="majorBidi"/>
          <w:sz w:val="20"/>
          <w:szCs w:val="20"/>
          <w:lang w:bidi="ar-EG"/>
        </w:rPr>
        <w:t xml:space="preserve"> </w:t>
      </w:r>
      <w:r w:rsidRPr="0057661C">
        <w:rPr>
          <w:rFonts w:asciiTheme="majorBidi" w:eastAsiaTheme="minorHAnsi" w:hAnsiTheme="majorBidi" w:cstheme="majorBidi"/>
          <w:sz w:val="20"/>
          <w:szCs w:val="20"/>
          <w:lang w:bidi="ar-EG"/>
        </w:rPr>
        <w:t>S</w:t>
      </w:r>
      <w:r w:rsidR="004B2CA9"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Castelvecchio, L</w:t>
      </w:r>
      <w:r w:rsidR="004B2CA9"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Menicanti, S</w:t>
      </w:r>
      <w:r w:rsidR="004B2CA9"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Ghio,</w:t>
      </w:r>
      <w:r w:rsidR="004B2CA9" w:rsidRPr="0057661C">
        <w:rPr>
          <w:rFonts w:asciiTheme="majorBidi" w:eastAsiaTheme="minorHAnsi" w:hAnsiTheme="majorBidi" w:cstheme="majorBidi"/>
          <w:sz w:val="20"/>
          <w:szCs w:val="20"/>
          <w:lang w:bidi="ar-EG"/>
        </w:rPr>
        <w:t xml:space="preserve"> Tricuspid annular plane systolic excursion and pulmonary arterial systolic pressure relationship in heart failure: an index of right ventricular contractile function and prognosis. Am J Physiol Heart Circ Physiol.,vol.305, pp.1373-1381,2013.</w:t>
      </w:r>
    </w:p>
    <w:p w14:paraId="4FA2CBF7" w14:textId="6FFA89D6" w:rsidR="00EF52DE" w:rsidRPr="0057661C" w:rsidRDefault="00D10BF5" w:rsidP="0057661C">
      <w:pPr>
        <w:pStyle w:val="ListParagraph"/>
        <w:numPr>
          <w:ilvl w:val="0"/>
          <w:numId w:val="15"/>
        </w:numPr>
        <w:autoSpaceDE w:val="0"/>
        <w:autoSpaceDN w:val="0"/>
        <w:bidi w:val="0"/>
        <w:adjustRightInd w:val="0"/>
        <w:spacing w:after="0" w:line="240" w:lineRule="auto"/>
        <w:ind w:left="54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M</w:t>
      </w:r>
      <w:r w:rsidR="00121695"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Guazzi, D</w:t>
      </w:r>
      <w:r w:rsidR="00121695"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Dixon,V</w:t>
      </w:r>
      <w:r w:rsidR="00121695"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Labate,</w:t>
      </w:r>
      <w:r w:rsidR="00121695" w:rsidRPr="0057661C">
        <w:rPr>
          <w:rFonts w:asciiTheme="majorBidi" w:eastAsiaTheme="minorHAnsi" w:hAnsiTheme="majorBidi" w:cstheme="majorBidi"/>
          <w:sz w:val="20"/>
          <w:szCs w:val="20"/>
          <w:lang w:bidi="ar-EG"/>
        </w:rPr>
        <w:t xml:space="preserve"> </w:t>
      </w:r>
      <w:r w:rsidRPr="0057661C">
        <w:rPr>
          <w:rFonts w:asciiTheme="majorBidi" w:eastAsiaTheme="minorHAnsi" w:hAnsiTheme="majorBidi" w:cstheme="majorBidi"/>
          <w:sz w:val="20"/>
          <w:szCs w:val="20"/>
          <w:lang w:bidi="ar-EG"/>
        </w:rPr>
        <w:t>L</w:t>
      </w:r>
      <w:r w:rsidR="00121695"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Beussink-Nelson, F</w:t>
      </w:r>
      <w:r w:rsidR="00121695"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Bandera, MJ</w:t>
      </w:r>
      <w:r w:rsidR="00121695"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Cuttica,</w:t>
      </w:r>
      <w:r w:rsidR="00121695" w:rsidRPr="0057661C">
        <w:rPr>
          <w:rFonts w:asciiTheme="majorBidi" w:eastAsiaTheme="minorHAnsi" w:hAnsiTheme="majorBidi" w:cstheme="majorBidi"/>
          <w:sz w:val="20"/>
          <w:szCs w:val="20"/>
          <w:lang w:bidi="ar-EG"/>
        </w:rPr>
        <w:t xml:space="preserve"> RV contractile function and its coupling to pulmonary circulation in heart failure with preserved ejection fraction: stratification of clinical Phenotypes and outcomes.ACC Cardiovasc Imaging., vol.10,pp.1211–21,2017.</w:t>
      </w:r>
    </w:p>
    <w:p w14:paraId="256DFA54" w14:textId="7986C2A3" w:rsidR="00EF52DE" w:rsidRPr="0057661C" w:rsidRDefault="00D10BF5" w:rsidP="0057661C">
      <w:pPr>
        <w:pStyle w:val="ListParagraph"/>
        <w:numPr>
          <w:ilvl w:val="0"/>
          <w:numId w:val="15"/>
        </w:numPr>
        <w:autoSpaceDE w:val="0"/>
        <w:autoSpaceDN w:val="0"/>
        <w:bidi w:val="0"/>
        <w:adjustRightInd w:val="0"/>
        <w:spacing w:after="0" w:line="240" w:lineRule="auto"/>
        <w:ind w:left="54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K</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Tello, J</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Axmann, HA</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Ghofrani, R</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Naeije, N</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Narcin,A</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Rieth,W</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Seeger</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H</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Gall</w:t>
      </w:r>
      <w:r w:rsidR="00C67526" w:rsidRPr="0057661C">
        <w:rPr>
          <w:rFonts w:asciiTheme="majorBidi" w:eastAsiaTheme="minorHAnsi" w:hAnsiTheme="majorBidi" w:cstheme="majorBidi"/>
          <w:sz w:val="20"/>
          <w:szCs w:val="20"/>
          <w:lang w:bidi="ar-EG"/>
        </w:rPr>
        <w:t>, Relevance of the TAPSE/PASP ratio in pulmonary arterial hypertension. Int J Cardiol., vol. 35, pp.266:229,2018</w:t>
      </w:r>
      <w:r w:rsidRPr="0057661C">
        <w:rPr>
          <w:rFonts w:asciiTheme="majorBidi" w:eastAsiaTheme="minorHAnsi" w:hAnsiTheme="majorBidi" w:cstheme="majorBidi"/>
          <w:sz w:val="20"/>
          <w:szCs w:val="20"/>
          <w:lang w:bidi="ar-EG"/>
        </w:rPr>
        <w:t>.</w:t>
      </w:r>
    </w:p>
    <w:p w14:paraId="343203FB" w14:textId="41E5D6A2" w:rsidR="00EF52DE" w:rsidRPr="0057661C" w:rsidRDefault="00D10BF5" w:rsidP="0057661C">
      <w:pPr>
        <w:pStyle w:val="ListParagraph"/>
        <w:numPr>
          <w:ilvl w:val="0"/>
          <w:numId w:val="15"/>
        </w:numPr>
        <w:autoSpaceDE w:val="0"/>
        <w:autoSpaceDN w:val="0"/>
        <w:bidi w:val="0"/>
        <w:adjustRightInd w:val="0"/>
        <w:spacing w:after="0" w:line="240" w:lineRule="auto"/>
        <w:ind w:left="54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K</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Tello, HA</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Ghofrani,</w:t>
      </w:r>
      <w:r w:rsidR="00C67526" w:rsidRPr="0057661C">
        <w:rPr>
          <w:rFonts w:asciiTheme="majorBidi" w:eastAsiaTheme="minorHAnsi" w:hAnsiTheme="majorBidi" w:cstheme="majorBidi"/>
          <w:sz w:val="20"/>
          <w:szCs w:val="20"/>
          <w:lang w:bidi="ar-EG"/>
        </w:rPr>
        <w:t xml:space="preserve"> </w:t>
      </w:r>
      <w:r w:rsidRPr="0057661C">
        <w:rPr>
          <w:rFonts w:asciiTheme="majorBidi" w:eastAsiaTheme="minorHAnsi" w:hAnsiTheme="majorBidi" w:cstheme="majorBidi"/>
          <w:sz w:val="20"/>
          <w:szCs w:val="20"/>
          <w:lang w:bidi="ar-EG"/>
        </w:rPr>
        <w:t>C</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Heinze,</w:t>
      </w:r>
      <w:r w:rsidR="00C67526" w:rsidRPr="0057661C">
        <w:rPr>
          <w:rFonts w:asciiTheme="majorBidi" w:eastAsiaTheme="minorHAnsi" w:hAnsiTheme="majorBidi" w:cstheme="majorBidi"/>
          <w:sz w:val="20"/>
          <w:szCs w:val="20"/>
          <w:lang w:bidi="ar-EG"/>
        </w:rPr>
        <w:t xml:space="preserve"> </w:t>
      </w:r>
      <w:r w:rsidRPr="0057661C">
        <w:rPr>
          <w:rFonts w:asciiTheme="majorBidi" w:eastAsiaTheme="minorHAnsi" w:hAnsiTheme="majorBidi" w:cstheme="majorBidi"/>
          <w:sz w:val="20"/>
          <w:szCs w:val="20"/>
          <w:lang w:bidi="ar-EG"/>
        </w:rPr>
        <w:t>K</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Krueger,</w:t>
      </w:r>
      <w:r w:rsidR="00C67526" w:rsidRPr="0057661C">
        <w:rPr>
          <w:rFonts w:asciiTheme="majorBidi" w:eastAsiaTheme="minorHAnsi" w:hAnsiTheme="majorBidi" w:cstheme="majorBidi"/>
          <w:sz w:val="20"/>
          <w:szCs w:val="20"/>
          <w:lang w:bidi="ar-EG"/>
        </w:rPr>
        <w:t xml:space="preserve"> </w:t>
      </w:r>
      <w:r w:rsidRPr="0057661C">
        <w:rPr>
          <w:rFonts w:asciiTheme="majorBidi" w:eastAsiaTheme="minorHAnsi" w:hAnsiTheme="majorBidi" w:cstheme="majorBidi"/>
          <w:sz w:val="20"/>
          <w:szCs w:val="20"/>
          <w:lang w:bidi="ar-EG"/>
        </w:rPr>
        <w:t>R</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Naeije, C</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Raubach, W</w:t>
      </w:r>
      <w:r w:rsidR="00C67526" w:rsidRPr="0057661C">
        <w:rPr>
          <w:rFonts w:asciiTheme="majorBidi" w:eastAsiaTheme="minorHAnsi" w:hAnsiTheme="majorBidi" w:cstheme="majorBidi"/>
          <w:sz w:val="20"/>
          <w:szCs w:val="20"/>
          <w:lang w:bidi="ar-EG"/>
        </w:rPr>
        <w:t>.</w:t>
      </w:r>
      <w:r w:rsidRPr="0057661C">
        <w:rPr>
          <w:rFonts w:asciiTheme="majorBidi" w:eastAsiaTheme="minorHAnsi" w:hAnsiTheme="majorBidi" w:cstheme="majorBidi"/>
          <w:sz w:val="20"/>
          <w:szCs w:val="20"/>
          <w:lang w:bidi="ar-EG"/>
        </w:rPr>
        <w:t>Seeger</w:t>
      </w:r>
      <w:r w:rsidR="00C67526" w:rsidRPr="0057661C">
        <w:rPr>
          <w:rFonts w:asciiTheme="majorBidi" w:eastAsiaTheme="minorHAnsi" w:hAnsiTheme="majorBidi" w:cstheme="majorBidi"/>
          <w:sz w:val="20"/>
          <w:szCs w:val="20"/>
          <w:lang w:bidi="ar-EG"/>
        </w:rPr>
        <w:t xml:space="preserve"> A simple echocardiographic estimate of right ventricular-</w:t>
      </w:r>
      <w:r w:rsidR="0057661C" w:rsidRPr="0057661C">
        <w:rPr>
          <w:rFonts w:asciiTheme="majorBidi" w:eastAsiaTheme="minorHAnsi" w:hAnsiTheme="majorBidi" w:cstheme="majorBidi"/>
          <w:sz w:val="20"/>
          <w:szCs w:val="20"/>
          <w:lang w:bidi="ar-EG"/>
        </w:rPr>
        <w:t xml:space="preserve"> </w:t>
      </w:r>
      <w:r w:rsidR="00C67526" w:rsidRPr="0057661C">
        <w:rPr>
          <w:rFonts w:asciiTheme="majorBidi" w:eastAsiaTheme="minorHAnsi" w:hAnsiTheme="majorBidi" w:cstheme="majorBidi"/>
          <w:sz w:val="20"/>
          <w:szCs w:val="20"/>
          <w:lang w:bidi="ar-EG"/>
        </w:rPr>
        <w:t>arterial coupling to assess severity and outcome in pulmonary hypertension on chronic lung disease. Eur Respir J., vol.54,pp.1802435,2019.</w:t>
      </w:r>
      <w:r w:rsidRPr="0057661C">
        <w:rPr>
          <w:rFonts w:asciiTheme="majorBidi" w:eastAsiaTheme="minorHAnsi" w:hAnsiTheme="majorBidi" w:cstheme="majorBidi"/>
          <w:sz w:val="20"/>
          <w:szCs w:val="20"/>
          <w:lang w:bidi="ar-EG"/>
        </w:rPr>
        <w:t xml:space="preserve">, </w:t>
      </w:r>
    </w:p>
    <w:p w14:paraId="1A386D52" w14:textId="2967E297" w:rsidR="00EF52DE" w:rsidRPr="0057661C" w:rsidRDefault="00D10BF5" w:rsidP="0057661C">
      <w:pPr>
        <w:pStyle w:val="ListParagraph"/>
        <w:numPr>
          <w:ilvl w:val="0"/>
          <w:numId w:val="15"/>
        </w:numPr>
        <w:autoSpaceDE w:val="0"/>
        <w:autoSpaceDN w:val="0"/>
        <w:bidi w:val="0"/>
        <w:adjustRightInd w:val="0"/>
        <w:spacing w:after="0" w:line="240" w:lineRule="auto"/>
        <w:ind w:left="540"/>
        <w:contextualSpacing w:val="0"/>
        <w:jc w:val="both"/>
        <w:rPr>
          <w:rFonts w:asciiTheme="majorBidi" w:eastAsiaTheme="minorHAnsi" w:hAnsiTheme="majorBidi" w:cstheme="majorBidi"/>
          <w:sz w:val="20"/>
          <w:szCs w:val="20"/>
          <w:lang w:bidi="ar-EG"/>
        </w:rPr>
      </w:pPr>
      <w:r w:rsidRPr="0057661C">
        <w:rPr>
          <w:rFonts w:asciiTheme="majorBidi" w:eastAsiaTheme="minorHAnsi" w:hAnsiTheme="majorBidi" w:cstheme="majorBidi"/>
          <w:sz w:val="20"/>
          <w:szCs w:val="20"/>
          <w:lang w:bidi="ar-EG"/>
        </w:rPr>
        <w:t xml:space="preserve">K </w:t>
      </w:r>
      <w:r w:rsidR="00C67526" w:rsidRPr="0057661C">
        <w:rPr>
          <w:rFonts w:asciiTheme="majorBidi" w:eastAsiaTheme="minorHAnsi" w:hAnsiTheme="majorBidi" w:cstheme="majorBidi"/>
          <w:sz w:val="20"/>
          <w:szCs w:val="20"/>
        </w:rPr>
        <w:t>.</w:t>
      </w:r>
      <w:r w:rsidRPr="0057661C">
        <w:rPr>
          <w:rFonts w:asciiTheme="majorBidi" w:eastAsiaTheme="minorHAnsi" w:hAnsiTheme="majorBidi" w:cstheme="majorBidi"/>
          <w:sz w:val="20"/>
          <w:szCs w:val="20"/>
          <w:lang w:bidi="ar-EG"/>
        </w:rPr>
        <w:t>Tello, J</w:t>
      </w:r>
      <w:r w:rsidR="00C67526" w:rsidRPr="0057661C">
        <w:rPr>
          <w:rFonts w:asciiTheme="majorBidi" w:eastAsiaTheme="minorHAnsi" w:hAnsiTheme="majorBidi" w:cstheme="majorBidi"/>
          <w:sz w:val="20"/>
          <w:szCs w:val="20"/>
        </w:rPr>
        <w:t>.</w:t>
      </w:r>
      <w:r w:rsidRPr="0057661C">
        <w:rPr>
          <w:rFonts w:asciiTheme="majorBidi" w:eastAsiaTheme="minorHAnsi" w:hAnsiTheme="majorBidi" w:cstheme="majorBidi"/>
          <w:sz w:val="20"/>
          <w:szCs w:val="20"/>
          <w:lang w:bidi="ar-EG"/>
        </w:rPr>
        <w:t>Wan,</w:t>
      </w:r>
      <w:r w:rsidR="00C67526" w:rsidRPr="0057661C">
        <w:rPr>
          <w:rFonts w:asciiTheme="majorBidi" w:eastAsiaTheme="minorHAnsi" w:hAnsiTheme="majorBidi" w:cstheme="majorBidi"/>
          <w:sz w:val="20"/>
          <w:szCs w:val="20"/>
        </w:rPr>
        <w:t xml:space="preserve"> </w:t>
      </w:r>
      <w:r w:rsidRPr="0057661C">
        <w:rPr>
          <w:rFonts w:asciiTheme="majorBidi" w:eastAsiaTheme="minorHAnsi" w:hAnsiTheme="majorBidi" w:cstheme="majorBidi"/>
          <w:sz w:val="20"/>
          <w:szCs w:val="20"/>
          <w:lang w:bidi="ar-EG"/>
        </w:rPr>
        <w:t>A</w:t>
      </w:r>
      <w:r w:rsidR="00C67526" w:rsidRPr="0057661C">
        <w:rPr>
          <w:rFonts w:asciiTheme="majorBidi" w:eastAsiaTheme="minorHAnsi" w:hAnsiTheme="majorBidi" w:cstheme="majorBidi"/>
          <w:sz w:val="20"/>
          <w:szCs w:val="20"/>
        </w:rPr>
        <w:t>.</w:t>
      </w:r>
      <w:r w:rsidRPr="0057661C">
        <w:rPr>
          <w:rFonts w:asciiTheme="majorBidi" w:eastAsiaTheme="minorHAnsi" w:hAnsiTheme="majorBidi" w:cstheme="majorBidi"/>
          <w:sz w:val="20"/>
          <w:szCs w:val="20"/>
          <w:lang w:bidi="ar-EG"/>
        </w:rPr>
        <w:t>Dalmer, R</w:t>
      </w:r>
      <w:r w:rsidR="00C67526" w:rsidRPr="0057661C">
        <w:rPr>
          <w:rFonts w:asciiTheme="majorBidi" w:eastAsiaTheme="minorHAnsi" w:hAnsiTheme="majorBidi" w:cstheme="majorBidi"/>
          <w:sz w:val="20"/>
          <w:szCs w:val="20"/>
        </w:rPr>
        <w:t>.</w:t>
      </w:r>
      <w:r w:rsidRPr="0057661C">
        <w:rPr>
          <w:rFonts w:asciiTheme="majorBidi" w:eastAsiaTheme="minorHAnsi" w:hAnsiTheme="majorBidi" w:cstheme="majorBidi"/>
          <w:sz w:val="20"/>
          <w:szCs w:val="20"/>
          <w:lang w:bidi="ar-EG"/>
        </w:rPr>
        <w:t>Vanderpool,</w:t>
      </w:r>
      <w:r w:rsidR="00C67526" w:rsidRPr="0057661C">
        <w:rPr>
          <w:rFonts w:asciiTheme="majorBidi" w:eastAsiaTheme="minorHAnsi" w:hAnsiTheme="majorBidi" w:cstheme="majorBidi"/>
          <w:sz w:val="20"/>
          <w:szCs w:val="20"/>
        </w:rPr>
        <w:t xml:space="preserve"> </w:t>
      </w:r>
      <w:r w:rsidRPr="0057661C">
        <w:rPr>
          <w:rFonts w:asciiTheme="majorBidi" w:eastAsiaTheme="minorHAnsi" w:hAnsiTheme="majorBidi" w:cstheme="majorBidi"/>
          <w:sz w:val="20"/>
          <w:szCs w:val="20"/>
          <w:lang w:bidi="ar-EG"/>
        </w:rPr>
        <w:t>HA</w:t>
      </w:r>
      <w:r w:rsidR="00C67526" w:rsidRPr="0057661C">
        <w:rPr>
          <w:rFonts w:asciiTheme="majorBidi" w:eastAsiaTheme="minorHAnsi" w:hAnsiTheme="majorBidi" w:cstheme="majorBidi"/>
          <w:sz w:val="20"/>
          <w:szCs w:val="20"/>
        </w:rPr>
        <w:t>.</w:t>
      </w:r>
      <w:r w:rsidRPr="0057661C">
        <w:rPr>
          <w:rFonts w:asciiTheme="majorBidi" w:eastAsiaTheme="minorHAnsi" w:hAnsiTheme="majorBidi" w:cstheme="majorBidi"/>
          <w:sz w:val="20"/>
          <w:szCs w:val="20"/>
          <w:lang w:bidi="ar-EG"/>
        </w:rPr>
        <w:t>Ghofrani,</w:t>
      </w:r>
      <w:r w:rsidR="00C67526" w:rsidRPr="0057661C">
        <w:rPr>
          <w:rFonts w:asciiTheme="majorBidi" w:eastAsiaTheme="minorHAnsi" w:hAnsiTheme="majorBidi" w:cstheme="majorBidi"/>
          <w:sz w:val="20"/>
          <w:szCs w:val="20"/>
        </w:rPr>
        <w:t xml:space="preserve"> </w:t>
      </w:r>
      <w:r w:rsidRPr="0057661C">
        <w:rPr>
          <w:rFonts w:asciiTheme="majorBidi" w:eastAsiaTheme="minorHAnsi" w:hAnsiTheme="majorBidi" w:cstheme="majorBidi"/>
          <w:sz w:val="20"/>
          <w:szCs w:val="20"/>
          <w:lang w:bidi="ar-EG"/>
        </w:rPr>
        <w:t>R</w:t>
      </w:r>
      <w:r w:rsidR="00C67526" w:rsidRPr="0057661C">
        <w:rPr>
          <w:rFonts w:asciiTheme="majorBidi" w:eastAsiaTheme="minorHAnsi" w:hAnsiTheme="majorBidi" w:cstheme="majorBidi"/>
          <w:sz w:val="20"/>
          <w:szCs w:val="20"/>
        </w:rPr>
        <w:t>.</w:t>
      </w:r>
      <w:r w:rsidRPr="0057661C">
        <w:rPr>
          <w:rFonts w:asciiTheme="majorBidi" w:eastAsiaTheme="minorHAnsi" w:hAnsiTheme="majorBidi" w:cstheme="majorBidi"/>
          <w:sz w:val="20"/>
          <w:szCs w:val="20"/>
          <w:lang w:bidi="ar-EG"/>
        </w:rPr>
        <w:t>Naeije,</w:t>
      </w:r>
      <w:r w:rsidR="00C67526" w:rsidRPr="0057661C">
        <w:rPr>
          <w:rFonts w:asciiTheme="majorBidi" w:eastAsiaTheme="minorHAnsi" w:hAnsiTheme="majorBidi" w:cstheme="majorBidi"/>
          <w:sz w:val="20"/>
          <w:szCs w:val="20"/>
        </w:rPr>
        <w:t xml:space="preserve"> </w:t>
      </w:r>
      <w:r w:rsidRPr="0057661C">
        <w:rPr>
          <w:rFonts w:asciiTheme="majorBidi" w:eastAsiaTheme="minorHAnsi" w:hAnsiTheme="majorBidi" w:cstheme="majorBidi"/>
          <w:sz w:val="20"/>
          <w:szCs w:val="20"/>
          <w:lang w:bidi="ar-EG"/>
        </w:rPr>
        <w:t>F</w:t>
      </w:r>
      <w:r w:rsidR="00C67526" w:rsidRPr="0057661C">
        <w:rPr>
          <w:rFonts w:asciiTheme="majorBidi" w:eastAsiaTheme="minorHAnsi" w:hAnsiTheme="majorBidi" w:cstheme="majorBidi"/>
          <w:sz w:val="20"/>
          <w:szCs w:val="20"/>
        </w:rPr>
        <w:t>.</w:t>
      </w:r>
      <w:r w:rsidRPr="0057661C">
        <w:rPr>
          <w:rFonts w:asciiTheme="majorBidi" w:eastAsiaTheme="minorHAnsi" w:hAnsiTheme="majorBidi" w:cstheme="majorBidi"/>
          <w:sz w:val="20"/>
          <w:szCs w:val="20"/>
          <w:lang w:bidi="ar-EG"/>
        </w:rPr>
        <w:t>Roller,</w:t>
      </w:r>
      <w:r w:rsidR="00C67526" w:rsidRPr="0057661C">
        <w:rPr>
          <w:rFonts w:asciiTheme="majorBidi" w:eastAsiaTheme="minorHAnsi" w:hAnsiTheme="majorBidi" w:cstheme="majorBidi"/>
          <w:sz w:val="20"/>
          <w:szCs w:val="20"/>
          <w:lang w:bidi="ar-EG"/>
        </w:rPr>
        <w:t xml:space="preserve"> E</w:t>
      </w:r>
      <w:r w:rsidR="00C67526" w:rsidRPr="0057661C">
        <w:rPr>
          <w:rFonts w:asciiTheme="majorBidi" w:eastAsiaTheme="minorHAnsi" w:hAnsiTheme="majorBidi" w:cstheme="majorBidi"/>
          <w:sz w:val="20"/>
          <w:szCs w:val="20"/>
        </w:rPr>
        <w:t>.</w:t>
      </w:r>
      <w:r w:rsidR="00C67526" w:rsidRPr="0057661C">
        <w:rPr>
          <w:rFonts w:asciiTheme="majorBidi" w:eastAsiaTheme="minorHAnsi" w:hAnsiTheme="majorBidi" w:cstheme="majorBidi"/>
          <w:sz w:val="20"/>
          <w:szCs w:val="20"/>
          <w:lang w:bidi="ar-EG"/>
        </w:rPr>
        <w:t>Mohajerani, W</w:t>
      </w:r>
      <w:r w:rsidR="00C67526" w:rsidRPr="0057661C">
        <w:rPr>
          <w:rFonts w:asciiTheme="majorBidi" w:eastAsiaTheme="minorHAnsi" w:hAnsiTheme="majorBidi" w:cstheme="majorBidi"/>
          <w:sz w:val="20"/>
          <w:szCs w:val="20"/>
        </w:rPr>
        <w:t>.</w:t>
      </w:r>
      <w:r w:rsidR="00C67526" w:rsidRPr="0057661C">
        <w:rPr>
          <w:rFonts w:asciiTheme="majorBidi" w:eastAsiaTheme="minorHAnsi" w:hAnsiTheme="majorBidi" w:cstheme="majorBidi"/>
          <w:sz w:val="20"/>
          <w:szCs w:val="20"/>
          <w:lang w:bidi="ar-EG"/>
        </w:rPr>
        <w:t>Seeger, Validation</w:t>
      </w:r>
      <w:r w:rsidR="00C67526" w:rsidRPr="0057661C">
        <w:rPr>
          <w:rFonts w:asciiTheme="majorBidi" w:eastAsiaTheme="minorHAnsi" w:hAnsiTheme="majorBidi" w:cstheme="majorBidi"/>
          <w:sz w:val="20"/>
          <w:szCs w:val="20"/>
        </w:rPr>
        <w:t xml:space="preserve"> </w:t>
      </w:r>
      <w:r w:rsidR="00C67526" w:rsidRPr="0057661C">
        <w:rPr>
          <w:rFonts w:asciiTheme="majorBidi" w:eastAsiaTheme="minorHAnsi" w:hAnsiTheme="majorBidi" w:cstheme="majorBidi"/>
          <w:sz w:val="20"/>
          <w:szCs w:val="20"/>
          <w:lang w:bidi="ar-EG"/>
        </w:rPr>
        <w:t>of the tricuspid annular plane systolic excursion/systolic pulmonary</w:t>
      </w:r>
      <w:r w:rsidR="00C67526" w:rsidRPr="0057661C">
        <w:rPr>
          <w:rFonts w:asciiTheme="majorBidi" w:eastAsiaTheme="minorHAnsi" w:hAnsiTheme="majorBidi" w:cstheme="majorBidi"/>
          <w:sz w:val="20"/>
          <w:szCs w:val="20"/>
        </w:rPr>
        <w:t xml:space="preserve"> </w:t>
      </w:r>
      <w:r w:rsidR="00C67526" w:rsidRPr="0057661C">
        <w:rPr>
          <w:rFonts w:asciiTheme="majorBidi" w:eastAsiaTheme="minorHAnsi" w:hAnsiTheme="majorBidi" w:cstheme="majorBidi"/>
          <w:sz w:val="20"/>
          <w:szCs w:val="20"/>
          <w:lang w:bidi="ar-EG"/>
        </w:rPr>
        <w:t>artery pressure ratio for the assessment of right ventricular-arterial</w:t>
      </w:r>
      <w:r w:rsidR="00C67526" w:rsidRPr="0057661C">
        <w:rPr>
          <w:rFonts w:asciiTheme="majorBidi" w:eastAsiaTheme="minorHAnsi" w:hAnsiTheme="majorBidi" w:cstheme="majorBidi"/>
          <w:sz w:val="20"/>
          <w:szCs w:val="20"/>
        </w:rPr>
        <w:t xml:space="preserve"> </w:t>
      </w:r>
      <w:r w:rsidR="00C67526" w:rsidRPr="0057661C">
        <w:rPr>
          <w:rFonts w:asciiTheme="majorBidi" w:eastAsiaTheme="minorHAnsi" w:hAnsiTheme="majorBidi" w:cstheme="majorBidi"/>
          <w:sz w:val="20"/>
          <w:szCs w:val="20"/>
          <w:lang w:bidi="ar-EG"/>
        </w:rPr>
        <w:t>coupling in severe pulmonary hypertension. Circ Cardiovasc Imaging.</w:t>
      </w:r>
      <w:r w:rsidR="00C67526" w:rsidRPr="0057661C">
        <w:rPr>
          <w:rFonts w:asciiTheme="majorBidi" w:eastAsiaTheme="minorHAnsi" w:hAnsiTheme="majorBidi" w:cstheme="majorBidi"/>
          <w:sz w:val="20"/>
          <w:szCs w:val="20"/>
        </w:rPr>
        <w:t>,</w:t>
      </w:r>
      <w:r w:rsidR="00C67526" w:rsidRPr="0057661C">
        <w:rPr>
          <w:rFonts w:asciiTheme="majorBidi" w:eastAsiaTheme="minorHAnsi" w:hAnsiTheme="majorBidi" w:cstheme="majorBidi"/>
          <w:sz w:val="20"/>
          <w:szCs w:val="20"/>
          <w:lang w:bidi="ar-EG"/>
        </w:rPr>
        <w:t>vol.</w:t>
      </w:r>
      <w:r w:rsidR="00C67526" w:rsidRPr="0057661C">
        <w:rPr>
          <w:rFonts w:asciiTheme="majorBidi" w:eastAsiaTheme="minorHAnsi" w:hAnsiTheme="majorBidi" w:cstheme="majorBidi"/>
          <w:sz w:val="20"/>
          <w:szCs w:val="20"/>
        </w:rPr>
        <w:t xml:space="preserve">12, </w:t>
      </w:r>
      <w:r w:rsidR="00C67526" w:rsidRPr="0057661C">
        <w:rPr>
          <w:rFonts w:asciiTheme="majorBidi" w:eastAsiaTheme="minorHAnsi" w:hAnsiTheme="majorBidi" w:cstheme="majorBidi"/>
          <w:sz w:val="20"/>
          <w:szCs w:val="20"/>
          <w:lang w:bidi="ar-EG"/>
        </w:rPr>
        <w:t>pp.009047</w:t>
      </w:r>
      <w:r w:rsidR="00C67526" w:rsidRPr="0057661C">
        <w:rPr>
          <w:rFonts w:asciiTheme="majorBidi" w:eastAsiaTheme="minorHAnsi" w:hAnsiTheme="majorBidi" w:cstheme="majorBidi"/>
          <w:sz w:val="20"/>
          <w:szCs w:val="20"/>
        </w:rPr>
        <w:t>,</w:t>
      </w:r>
      <w:r w:rsidR="00C67526" w:rsidRPr="0057661C">
        <w:rPr>
          <w:rFonts w:asciiTheme="majorBidi" w:eastAsiaTheme="minorHAnsi" w:hAnsiTheme="majorBidi" w:cstheme="majorBidi"/>
          <w:sz w:val="20"/>
          <w:szCs w:val="20"/>
          <w:lang w:bidi="ar-EG"/>
        </w:rPr>
        <w:t>2019.</w:t>
      </w:r>
    </w:p>
    <w:p w14:paraId="2EB04198" w14:textId="77777777" w:rsidR="0057661C" w:rsidRDefault="0057661C" w:rsidP="0057661C">
      <w:pPr>
        <w:autoSpaceDE w:val="0"/>
        <w:autoSpaceDN w:val="0"/>
        <w:bidi w:val="0"/>
        <w:adjustRightInd w:val="0"/>
        <w:spacing w:after="0" w:line="240" w:lineRule="auto"/>
        <w:ind w:left="360" w:hanging="270"/>
        <w:jc w:val="both"/>
        <w:rPr>
          <w:rFonts w:asciiTheme="majorBidi" w:eastAsiaTheme="minorHAnsi" w:hAnsiTheme="majorBidi" w:cstheme="majorBidi"/>
          <w:sz w:val="20"/>
          <w:szCs w:val="20"/>
        </w:rPr>
        <w:sectPr w:rsidR="0057661C" w:rsidSect="0057661C">
          <w:type w:val="continuous"/>
          <w:pgSz w:w="11906" w:h="16838"/>
          <w:pgMar w:top="1440" w:right="1800" w:bottom="1440" w:left="1800" w:header="720" w:footer="720" w:gutter="0"/>
          <w:pgNumType w:start="1"/>
          <w:cols w:num="2" w:space="706"/>
          <w:titlePg/>
          <w:rtlGutter/>
          <w:docGrid w:linePitch="360"/>
        </w:sectPr>
      </w:pPr>
    </w:p>
    <w:p w14:paraId="1BDF69B0" w14:textId="3FF17F5F" w:rsidR="003730F1" w:rsidRPr="0057661C" w:rsidRDefault="003730F1" w:rsidP="0057661C">
      <w:pPr>
        <w:autoSpaceDE w:val="0"/>
        <w:autoSpaceDN w:val="0"/>
        <w:bidi w:val="0"/>
        <w:adjustRightInd w:val="0"/>
        <w:spacing w:after="0" w:line="240" w:lineRule="auto"/>
        <w:ind w:left="360" w:hanging="270"/>
        <w:jc w:val="both"/>
        <w:rPr>
          <w:rFonts w:asciiTheme="majorBidi" w:eastAsiaTheme="minorHAnsi" w:hAnsiTheme="majorBidi" w:cstheme="majorBidi"/>
          <w:sz w:val="20"/>
          <w:szCs w:val="20"/>
        </w:rPr>
      </w:pPr>
    </w:p>
    <w:p w14:paraId="4A40C43F" w14:textId="77777777" w:rsidR="003B43E1" w:rsidRPr="0057661C" w:rsidRDefault="003B43E1" w:rsidP="0057661C">
      <w:pPr>
        <w:bidi w:val="0"/>
        <w:spacing w:after="0" w:line="240" w:lineRule="auto"/>
        <w:jc w:val="both"/>
        <w:rPr>
          <w:rFonts w:asciiTheme="majorBidi" w:hAnsiTheme="majorBidi" w:cstheme="majorBidi"/>
          <w:sz w:val="20"/>
          <w:szCs w:val="20"/>
          <w:lang w:bidi="ar-EG"/>
        </w:rPr>
      </w:pPr>
    </w:p>
    <w:sectPr w:rsidR="003B43E1" w:rsidRPr="0057661C" w:rsidSect="0057661C">
      <w:type w:val="continuous"/>
      <w:pgSz w:w="11906" w:h="16838"/>
      <w:pgMar w:top="1440" w:right="1800" w:bottom="1440" w:left="1800" w:header="720" w:footer="720" w:gutter="0"/>
      <w:pgNumType w:start="1"/>
      <w:cols w:space="709"/>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6922" w14:textId="77777777" w:rsidR="00F40BD3" w:rsidRDefault="00F40BD3" w:rsidP="003D58DB">
      <w:pPr>
        <w:spacing w:after="0" w:line="240" w:lineRule="auto"/>
      </w:pPr>
      <w:r>
        <w:separator/>
      </w:r>
    </w:p>
  </w:endnote>
  <w:endnote w:type="continuationSeparator" w:id="0">
    <w:p w14:paraId="28EFE4CE" w14:textId="77777777" w:rsidR="00F40BD3" w:rsidRDefault="00F40BD3" w:rsidP="003D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B4FA" w14:textId="77777777" w:rsidR="00F40BD3" w:rsidRDefault="00F40BD3" w:rsidP="003D58DB">
      <w:pPr>
        <w:spacing w:after="0" w:line="240" w:lineRule="auto"/>
      </w:pPr>
      <w:r>
        <w:separator/>
      </w:r>
    </w:p>
  </w:footnote>
  <w:footnote w:type="continuationSeparator" w:id="0">
    <w:p w14:paraId="3E4C7451" w14:textId="77777777" w:rsidR="00F40BD3" w:rsidRDefault="00F40BD3" w:rsidP="003D5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793B"/>
    <w:multiLevelType w:val="hybridMultilevel"/>
    <w:tmpl w:val="18607E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B15A8"/>
    <w:multiLevelType w:val="hybridMultilevel"/>
    <w:tmpl w:val="1A36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47CF1"/>
    <w:multiLevelType w:val="hybridMultilevel"/>
    <w:tmpl w:val="025A81AA"/>
    <w:lvl w:ilvl="0" w:tplc="6DFCD3A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A7107"/>
    <w:multiLevelType w:val="hybridMultilevel"/>
    <w:tmpl w:val="01601452"/>
    <w:lvl w:ilvl="0" w:tplc="C100C8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D2C38"/>
    <w:multiLevelType w:val="hybridMultilevel"/>
    <w:tmpl w:val="4DF4FE72"/>
    <w:lvl w:ilvl="0" w:tplc="8C88A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E1EB0"/>
    <w:multiLevelType w:val="hybridMultilevel"/>
    <w:tmpl w:val="164A5EF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15:restartNumberingAfterBreak="0">
    <w:nsid w:val="39B47BEE"/>
    <w:multiLevelType w:val="multilevel"/>
    <w:tmpl w:val="E1C85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F402D6"/>
    <w:multiLevelType w:val="hybridMultilevel"/>
    <w:tmpl w:val="096A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52F18"/>
    <w:multiLevelType w:val="hybridMultilevel"/>
    <w:tmpl w:val="DFC2B5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F4478"/>
    <w:multiLevelType w:val="hybridMultilevel"/>
    <w:tmpl w:val="DCBCD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57891"/>
    <w:multiLevelType w:val="hybridMultilevel"/>
    <w:tmpl w:val="5A7E07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743B5"/>
    <w:multiLevelType w:val="hybridMultilevel"/>
    <w:tmpl w:val="4C9EAD56"/>
    <w:lvl w:ilvl="0" w:tplc="007C0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A6A07"/>
    <w:multiLevelType w:val="hybridMultilevel"/>
    <w:tmpl w:val="92007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B43BF"/>
    <w:multiLevelType w:val="hybridMultilevel"/>
    <w:tmpl w:val="7FC8B26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D974B78"/>
    <w:multiLevelType w:val="hybridMultilevel"/>
    <w:tmpl w:val="2D92A28A"/>
    <w:lvl w:ilvl="0" w:tplc="133412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B4C6D"/>
    <w:multiLevelType w:val="hybridMultilevel"/>
    <w:tmpl w:val="8CB0B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699552">
    <w:abstractNumId w:val="3"/>
  </w:num>
  <w:num w:numId="2" w16cid:durableId="1602181734">
    <w:abstractNumId w:val="13"/>
  </w:num>
  <w:num w:numId="3" w16cid:durableId="1189221701">
    <w:abstractNumId w:val="10"/>
  </w:num>
  <w:num w:numId="4" w16cid:durableId="2043044633">
    <w:abstractNumId w:val="12"/>
  </w:num>
  <w:num w:numId="5" w16cid:durableId="1788233112">
    <w:abstractNumId w:val="4"/>
  </w:num>
  <w:num w:numId="6" w16cid:durableId="1607880045">
    <w:abstractNumId w:val="11"/>
  </w:num>
  <w:num w:numId="7" w16cid:durableId="1602300548">
    <w:abstractNumId w:val="5"/>
  </w:num>
  <w:num w:numId="8" w16cid:durableId="1639804446">
    <w:abstractNumId w:val="9"/>
  </w:num>
  <w:num w:numId="9" w16cid:durableId="1697079022">
    <w:abstractNumId w:val="1"/>
  </w:num>
  <w:num w:numId="10" w16cid:durableId="1245187558">
    <w:abstractNumId w:val="15"/>
  </w:num>
  <w:num w:numId="11" w16cid:durableId="427653691">
    <w:abstractNumId w:val="0"/>
  </w:num>
  <w:num w:numId="12" w16cid:durableId="1339044853">
    <w:abstractNumId w:val="7"/>
  </w:num>
  <w:num w:numId="13" w16cid:durableId="839852865">
    <w:abstractNumId w:val="2"/>
  </w:num>
  <w:num w:numId="14" w16cid:durableId="1770932927">
    <w:abstractNumId w:val="8"/>
  </w:num>
  <w:num w:numId="15" w16cid:durableId="193274387">
    <w:abstractNumId w:val="14"/>
  </w:num>
  <w:num w:numId="16" w16cid:durableId="9065012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NjMzMjM0MLKwMDRR0lEKTi0uzszPAykwrAUAc2SPEywAAAA="/>
  </w:docVars>
  <w:rsids>
    <w:rsidRoot w:val="00ED5DE6"/>
    <w:rsid w:val="0000193D"/>
    <w:rsid w:val="000045E2"/>
    <w:rsid w:val="00006A26"/>
    <w:rsid w:val="00016DFE"/>
    <w:rsid w:val="00030206"/>
    <w:rsid w:val="00035572"/>
    <w:rsid w:val="00036AA5"/>
    <w:rsid w:val="00040069"/>
    <w:rsid w:val="0004302C"/>
    <w:rsid w:val="00044814"/>
    <w:rsid w:val="0005677D"/>
    <w:rsid w:val="00063123"/>
    <w:rsid w:val="000709AF"/>
    <w:rsid w:val="00082130"/>
    <w:rsid w:val="00086892"/>
    <w:rsid w:val="00092F50"/>
    <w:rsid w:val="000970EC"/>
    <w:rsid w:val="000A141E"/>
    <w:rsid w:val="000A21C2"/>
    <w:rsid w:val="000A2914"/>
    <w:rsid w:val="000A3678"/>
    <w:rsid w:val="000A65CC"/>
    <w:rsid w:val="000B6554"/>
    <w:rsid w:val="000C2D8C"/>
    <w:rsid w:val="000C4A00"/>
    <w:rsid w:val="000C60DF"/>
    <w:rsid w:val="000D2C50"/>
    <w:rsid w:val="000D2F70"/>
    <w:rsid w:val="000D3CE4"/>
    <w:rsid w:val="000D4841"/>
    <w:rsid w:val="000E0B26"/>
    <w:rsid w:val="000E1802"/>
    <w:rsid w:val="000E2F67"/>
    <w:rsid w:val="000E6108"/>
    <w:rsid w:val="000E7A4F"/>
    <w:rsid w:val="000E7DA2"/>
    <w:rsid w:val="000F47FD"/>
    <w:rsid w:val="000F58D2"/>
    <w:rsid w:val="000F7A63"/>
    <w:rsid w:val="00100F32"/>
    <w:rsid w:val="00101ED2"/>
    <w:rsid w:val="001030F3"/>
    <w:rsid w:val="001069FD"/>
    <w:rsid w:val="001113BC"/>
    <w:rsid w:val="001127E6"/>
    <w:rsid w:val="001154F8"/>
    <w:rsid w:val="00121695"/>
    <w:rsid w:val="00123B09"/>
    <w:rsid w:val="00130501"/>
    <w:rsid w:val="0013058F"/>
    <w:rsid w:val="001326E6"/>
    <w:rsid w:val="00132C0D"/>
    <w:rsid w:val="0013423C"/>
    <w:rsid w:val="001348CC"/>
    <w:rsid w:val="0014200E"/>
    <w:rsid w:val="001432E8"/>
    <w:rsid w:val="00144139"/>
    <w:rsid w:val="00146039"/>
    <w:rsid w:val="00151CFC"/>
    <w:rsid w:val="00152CC6"/>
    <w:rsid w:val="001652AD"/>
    <w:rsid w:val="0017176B"/>
    <w:rsid w:val="00174BC0"/>
    <w:rsid w:val="001769B0"/>
    <w:rsid w:val="0017705A"/>
    <w:rsid w:val="0018396C"/>
    <w:rsid w:val="00183CB7"/>
    <w:rsid w:val="00186B0D"/>
    <w:rsid w:val="001870B9"/>
    <w:rsid w:val="00190771"/>
    <w:rsid w:val="001916C6"/>
    <w:rsid w:val="001944BF"/>
    <w:rsid w:val="00194E75"/>
    <w:rsid w:val="00197642"/>
    <w:rsid w:val="001A3FA2"/>
    <w:rsid w:val="001A5DD9"/>
    <w:rsid w:val="001A6EA5"/>
    <w:rsid w:val="001B45D4"/>
    <w:rsid w:val="001B5E63"/>
    <w:rsid w:val="001C3BDB"/>
    <w:rsid w:val="001C6C76"/>
    <w:rsid w:val="001D34B8"/>
    <w:rsid w:val="001D3D5B"/>
    <w:rsid w:val="001D3D61"/>
    <w:rsid w:val="001D4733"/>
    <w:rsid w:val="001E1771"/>
    <w:rsid w:val="001E32B2"/>
    <w:rsid w:val="001E3398"/>
    <w:rsid w:val="001E3C0B"/>
    <w:rsid w:val="001E4139"/>
    <w:rsid w:val="001E645D"/>
    <w:rsid w:val="001E6501"/>
    <w:rsid w:val="001F4BBE"/>
    <w:rsid w:val="001F5060"/>
    <w:rsid w:val="001F7860"/>
    <w:rsid w:val="00201728"/>
    <w:rsid w:val="00202A15"/>
    <w:rsid w:val="00206FAA"/>
    <w:rsid w:val="002106D7"/>
    <w:rsid w:val="002165B6"/>
    <w:rsid w:val="00220570"/>
    <w:rsid w:val="00222F4B"/>
    <w:rsid w:val="00224751"/>
    <w:rsid w:val="00227303"/>
    <w:rsid w:val="00231124"/>
    <w:rsid w:val="002356D6"/>
    <w:rsid w:val="00242BBB"/>
    <w:rsid w:val="00243114"/>
    <w:rsid w:val="0025251B"/>
    <w:rsid w:val="002615E0"/>
    <w:rsid w:val="00266929"/>
    <w:rsid w:val="0027111B"/>
    <w:rsid w:val="00273860"/>
    <w:rsid w:val="002809DD"/>
    <w:rsid w:val="002843D4"/>
    <w:rsid w:val="00287FBF"/>
    <w:rsid w:val="002924EB"/>
    <w:rsid w:val="00294EDA"/>
    <w:rsid w:val="002960ED"/>
    <w:rsid w:val="0029644A"/>
    <w:rsid w:val="002A1194"/>
    <w:rsid w:val="002A16EE"/>
    <w:rsid w:val="002A6CD5"/>
    <w:rsid w:val="002A7B1D"/>
    <w:rsid w:val="002B5F80"/>
    <w:rsid w:val="002B6CD2"/>
    <w:rsid w:val="002B72BD"/>
    <w:rsid w:val="002B7692"/>
    <w:rsid w:val="002C059F"/>
    <w:rsid w:val="002C3C39"/>
    <w:rsid w:val="002C3CAE"/>
    <w:rsid w:val="002C4A1C"/>
    <w:rsid w:val="002D3933"/>
    <w:rsid w:val="002D7189"/>
    <w:rsid w:val="002E4653"/>
    <w:rsid w:val="002F2D4B"/>
    <w:rsid w:val="00311702"/>
    <w:rsid w:val="00311735"/>
    <w:rsid w:val="00314F3B"/>
    <w:rsid w:val="00321A5D"/>
    <w:rsid w:val="00323B8B"/>
    <w:rsid w:val="00324E69"/>
    <w:rsid w:val="00325F5A"/>
    <w:rsid w:val="003264B6"/>
    <w:rsid w:val="00327C9E"/>
    <w:rsid w:val="00332B2C"/>
    <w:rsid w:val="00333C8B"/>
    <w:rsid w:val="00335BB4"/>
    <w:rsid w:val="003442E9"/>
    <w:rsid w:val="00344718"/>
    <w:rsid w:val="00346346"/>
    <w:rsid w:val="003505CB"/>
    <w:rsid w:val="003517C6"/>
    <w:rsid w:val="00355422"/>
    <w:rsid w:val="0035778E"/>
    <w:rsid w:val="00365D93"/>
    <w:rsid w:val="00367E15"/>
    <w:rsid w:val="00370AA3"/>
    <w:rsid w:val="00372832"/>
    <w:rsid w:val="003730F1"/>
    <w:rsid w:val="003731F7"/>
    <w:rsid w:val="003760D8"/>
    <w:rsid w:val="0038186F"/>
    <w:rsid w:val="0038213D"/>
    <w:rsid w:val="0038676C"/>
    <w:rsid w:val="00390062"/>
    <w:rsid w:val="003A2E3C"/>
    <w:rsid w:val="003A77B6"/>
    <w:rsid w:val="003B13AD"/>
    <w:rsid w:val="003B3EE0"/>
    <w:rsid w:val="003B43E1"/>
    <w:rsid w:val="003C7448"/>
    <w:rsid w:val="003C7DD2"/>
    <w:rsid w:val="003D2555"/>
    <w:rsid w:val="003D4AE7"/>
    <w:rsid w:val="003D58DB"/>
    <w:rsid w:val="003F040A"/>
    <w:rsid w:val="003F05B0"/>
    <w:rsid w:val="003F1BEE"/>
    <w:rsid w:val="003F2120"/>
    <w:rsid w:val="003F7F73"/>
    <w:rsid w:val="00401068"/>
    <w:rsid w:val="00403D53"/>
    <w:rsid w:val="00404888"/>
    <w:rsid w:val="00410732"/>
    <w:rsid w:val="0041750A"/>
    <w:rsid w:val="00422335"/>
    <w:rsid w:val="00422B87"/>
    <w:rsid w:val="00422BD8"/>
    <w:rsid w:val="0042618D"/>
    <w:rsid w:val="00432C0A"/>
    <w:rsid w:val="00432FC7"/>
    <w:rsid w:val="00437BCF"/>
    <w:rsid w:val="00443856"/>
    <w:rsid w:val="00450EF6"/>
    <w:rsid w:val="004522F7"/>
    <w:rsid w:val="00454CE9"/>
    <w:rsid w:val="00455C92"/>
    <w:rsid w:val="00456145"/>
    <w:rsid w:val="004561AA"/>
    <w:rsid w:val="00462864"/>
    <w:rsid w:val="0046745E"/>
    <w:rsid w:val="00475247"/>
    <w:rsid w:val="004821B8"/>
    <w:rsid w:val="00483F2A"/>
    <w:rsid w:val="004851B5"/>
    <w:rsid w:val="00493DF9"/>
    <w:rsid w:val="004A0037"/>
    <w:rsid w:val="004A0346"/>
    <w:rsid w:val="004A1485"/>
    <w:rsid w:val="004B2CA9"/>
    <w:rsid w:val="004B5F88"/>
    <w:rsid w:val="004C0E2E"/>
    <w:rsid w:val="004C1F56"/>
    <w:rsid w:val="004D2F21"/>
    <w:rsid w:val="004D7DC5"/>
    <w:rsid w:val="004E1B4F"/>
    <w:rsid w:val="004E3CFE"/>
    <w:rsid w:val="004E470C"/>
    <w:rsid w:val="004E5FF4"/>
    <w:rsid w:val="004F42D5"/>
    <w:rsid w:val="004F728F"/>
    <w:rsid w:val="00501B86"/>
    <w:rsid w:val="00506F59"/>
    <w:rsid w:val="00510D07"/>
    <w:rsid w:val="00525430"/>
    <w:rsid w:val="00526DB0"/>
    <w:rsid w:val="00526DF3"/>
    <w:rsid w:val="0053384F"/>
    <w:rsid w:val="00537710"/>
    <w:rsid w:val="005409AC"/>
    <w:rsid w:val="00544838"/>
    <w:rsid w:val="0054544B"/>
    <w:rsid w:val="00552399"/>
    <w:rsid w:val="00552ADB"/>
    <w:rsid w:val="005701F9"/>
    <w:rsid w:val="005723C4"/>
    <w:rsid w:val="00575DCE"/>
    <w:rsid w:val="0057661C"/>
    <w:rsid w:val="005766DB"/>
    <w:rsid w:val="00581FFC"/>
    <w:rsid w:val="00582FBA"/>
    <w:rsid w:val="005832F0"/>
    <w:rsid w:val="005848B3"/>
    <w:rsid w:val="00596EF9"/>
    <w:rsid w:val="005A1A56"/>
    <w:rsid w:val="005A4FBB"/>
    <w:rsid w:val="005A71E0"/>
    <w:rsid w:val="005A7510"/>
    <w:rsid w:val="005B1DC5"/>
    <w:rsid w:val="005B2B99"/>
    <w:rsid w:val="005B4C16"/>
    <w:rsid w:val="005B5C07"/>
    <w:rsid w:val="005C0604"/>
    <w:rsid w:val="005C42E1"/>
    <w:rsid w:val="005C46E6"/>
    <w:rsid w:val="005C5CDC"/>
    <w:rsid w:val="005D3AC4"/>
    <w:rsid w:val="005D69BC"/>
    <w:rsid w:val="005D744F"/>
    <w:rsid w:val="005E0C09"/>
    <w:rsid w:val="005E245D"/>
    <w:rsid w:val="005E5590"/>
    <w:rsid w:val="005F0301"/>
    <w:rsid w:val="005F15B1"/>
    <w:rsid w:val="005F2DA1"/>
    <w:rsid w:val="005F4768"/>
    <w:rsid w:val="005F5833"/>
    <w:rsid w:val="005F7D00"/>
    <w:rsid w:val="00601A50"/>
    <w:rsid w:val="00605078"/>
    <w:rsid w:val="00606476"/>
    <w:rsid w:val="00612624"/>
    <w:rsid w:val="006145AF"/>
    <w:rsid w:val="00614C2A"/>
    <w:rsid w:val="0061695A"/>
    <w:rsid w:val="00616ECB"/>
    <w:rsid w:val="006202FE"/>
    <w:rsid w:val="00623F01"/>
    <w:rsid w:val="006313D7"/>
    <w:rsid w:val="00631741"/>
    <w:rsid w:val="00632D3E"/>
    <w:rsid w:val="0063613C"/>
    <w:rsid w:val="00642EF1"/>
    <w:rsid w:val="00643B0A"/>
    <w:rsid w:val="006446A2"/>
    <w:rsid w:val="006454F0"/>
    <w:rsid w:val="006515A3"/>
    <w:rsid w:val="00657673"/>
    <w:rsid w:val="00666A5A"/>
    <w:rsid w:val="00666E56"/>
    <w:rsid w:val="00673902"/>
    <w:rsid w:val="00694A72"/>
    <w:rsid w:val="006A1312"/>
    <w:rsid w:val="006A2830"/>
    <w:rsid w:val="006B1C3D"/>
    <w:rsid w:val="006B4804"/>
    <w:rsid w:val="006C2DD1"/>
    <w:rsid w:val="006C3376"/>
    <w:rsid w:val="006C3931"/>
    <w:rsid w:val="006D0BBE"/>
    <w:rsid w:val="006D1499"/>
    <w:rsid w:val="006D4D9C"/>
    <w:rsid w:val="006D777D"/>
    <w:rsid w:val="006E1E84"/>
    <w:rsid w:val="006E2BD4"/>
    <w:rsid w:val="006F21F9"/>
    <w:rsid w:val="006F2809"/>
    <w:rsid w:val="006F6C3D"/>
    <w:rsid w:val="007009CB"/>
    <w:rsid w:val="00701785"/>
    <w:rsid w:val="00701FA5"/>
    <w:rsid w:val="00703102"/>
    <w:rsid w:val="00703F74"/>
    <w:rsid w:val="0070748B"/>
    <w:rsid w:val="00713DAA"/>
    <w:rsid w:val="007154C0"/>
    <w:rsid w:val="00732684"/>
    <w:rsid w:val="00733A67"/>
    <w:rsid w:val="00742FCD"/>
    <w:rsid w:val="00745BCB"/>
    <w:rsid w:val="00751D49"/>
    <w:rsid w:val="0075298E"/>
    <w:rsid w:val="007542BE"/>
    <w:rsid w:val="00754636"/>
    <w:rsid w:val="00772500"/>
    <w:rsid w:val="00773743"/>
    <w:rsid w:val="00776D73"/>
    <w:rsid w:val="0078024B"/>
    <w:rsid w:val="007846C4"/>
    <w:rsid w:val="007900D4"/>
    <w:rsid w:val="007949DB"/>
    <w:rsid w:val="007A439B"/>
    <w:rsid w:val="007B7AB6"/>
    <w:rsid w:val="007C02A3"/>
    <w:rsid w:val="007C6EB6"/>
    <w:rsid w:val="007C7A52"/>
    <w:rsid w:val="007D10FD"/>
    <w:rsid w:val="007D1373"/>
    <w:rsid w:val="007E27A0"/>
    <w:rsid w:val="007E2E69"/>
    <w:rsid w:val="007E3E39"/>
    <w:rsid w:val="007E65D3"/>
    <w:rsid w:val="007F3085"/>
    <w:rsid w:val="007F309F"/>
    <w:rsid w:val="007F4474"/>
    <w:rsid w:val="007F5953"/>
    <w:rsid w:val="008013E9"/>
    <w:rsid w:val="0080331C"/>
    <w:rsid w:val="00804D30"/>
    <w:rsid w:val="008151DD"/>
    <w:rsid w:val="00815788"/>
    <w:rsid w:val="008158FE"/>
    <w:rsid w:val="00816D20"/>
    <w:rsid w:val="008232C8"/>
    <w:rsid w:val="00827223"/>
    <w:rsid w:val="00835425"/>
    <w:rsid w:val="008358EE"/>
    <w:rsid w:val="008433ED"/>
    <w:rsid w:val="00844423"/>
    <w:rsid w:val="00847996"/>
    <w:rsid w:val="008504EA"/>
    <w:rsid w:val="008534A7"/>
    <w:rsid w:val="00856096"/>
    <w:rsid w:val="0086088B"/>
    <w:rsid w:val="00861226"/>
    <w:rsid w:val="00863C71"/>
    <w:rsid w:val="0086756A"/>
    <w:rsid w:val="00867EFE"/>
    <w:rsid w:val="00867FD1"/>
    <w:rsid w:val="00870070"/>
    <w:rsid w:val="00881A5E"/>
    <w:rsid w:val="008874A7"/>
    <w:rsid w:val="008B1BD3"/>
    <w:rsid w:val="008B1CBD"/>
    <w:rsid w:val="008B6288"/>
    <w:rsid w:val="008B68D1"/>
    <w:rsid w:val="008C2FD6"/>
    <w:rsid w:val="008C67F0"/>
    <w:rsid w:val="008C73CF"/>
    <w:rsid w:val="008D2908"/>
    <w:rsid w:val="008E251B"/>
    <w:rsid w:val="008E5784"/>
    <w:rsid w:val="008E674D"/>
    <w:rsid w:val="008F01C0"/>
    <w:rsid w:val="008F227A"/>
    <w:rsid w:val="008F66B0"/>
    <w:rsid w:val="00910F1E"/>
    <w:rsid w:val="00911151"/>
    <w:rsid w:val="00911ECD"/>
    <w:rsid w:val="00912087"/>
    <w:rsid w:val="00916748"/>
    <w:rsid w:val="009179E2"/>
    <w:rsid w:val="00920F15"/>
    <w:rsid w:val="00924CED"/>
    <w:rsid w:val="00931FB4"/>
    <w:rsid w:val="0093223D"/>
    <w:rsid w:val="00933FF4"/>
    <w:rsid w:val="009346B6"/>
    <w:rsid w:val="00936516"/>
    <w:rsid w:val="009403D6"/>
    <w:rsid w:val="00942D3C"/>
    <w:rsid w:val="0094543A"/>
    <w:rsid w:val="00945AC4"/>
    <w:rsid w:val="0094747B"/>
    <w:rsid w:val="009561EA"/>
    <w:rsid w:val="009611A0"/>
    <w:rsid w:val="00965E15"/>
    <w:rsid w:val="00967407"/>
    <w:rsid w:val="00973EC0"/>
    <w:rsid w:val="00975DE2"/>
    <w:rsid w:val="00976874"/>
    <w:rsid w:val="00977D04"/>
    <w:rsid w:val="00986294"/>
    <w:rsid w:val="00987ED8"/>
    <w:rsid w:val="00990CA1"/>
    <w:rsid w:val="00992900"/>
    <w:rsid w:val="00993B0D"/>
    <w:rsid w:val="00996BBE"/>
    <w:rsid w:val="00996DDE"/>
    <w:rsid w:val="009A0672"/>
    <w:rsid w:val="009A7E7F"/>
    <w:rsid w:val="009B1009"/>
    <w:rsid w:val="009B1F79"/>
    <w:rsid w:val="009B3572"/>
    <w:rsid w:val="009B526B"/>
    <w:rsid w:val="009B665A"/>
    <w:rsid w:val="009B69DE"/>
    <w:rsid w:val="009B69EA"/>
    <w:rsid w:val="009C0C92"/>
    <w:rsid w:val="009C25E0"/>
    <w:rsid w:val="009C3327"/>
    <w:rsid w:val="009D1D4E"/>
    <w:rsid w:val="009D3869"/>
    <w:rsid w:val="009D761D"/>
    <w:rsid w:val="009E626A"/>
    <w:rsid w:val="009F621F"/>
    <w:rsid w:val="00A02D7B"/>
    <w:rsid w:val="00A04232"/>
    <w:rsid w:val="00A06660"/>
    <w:rsid w:val="00A10451"/>
    <w:rsid w:val="00A10462"/>
    <w:rsid w:val="00A12D72"/>
    <w:rsid w:val="00A206E1"/>
    <w:rsid w:val="00A243E6"/>
    <w:rsid w:val="00A262D3"/>
    <w:rsid w:val="00A31554"/>
    <w:rsid w:val="00A42C85"/>
    <w:rsid w:val="00A43D4F"/>
    <w:rsid w:val="00A44C1C"/>
    <w:rsid w:val="00A505FC"/>
    <w:rsid w:val="00A56866"/>
    <w:rsid w:val="00A63CC7"/>
    <w:rsid w:val="00A6512B"/>
    <w:rsid w:val="00A841A2"/>
    <w:rsid w:val="00A85E16"/>
    <w:rsid w:val="00A87FA5"/>
    <w:rsid w:val="00A91301"/>
    <w:rsid w:val="00AA536C"/>
    <w:rsid w:val="00AA70E5"/>
    <w:rsid w:val="00AB1E1C"/>
    <w:rsid w:val="00AB36F8"/>
    <w:rsid w:val="00AB5E8F"/>
    <w:rsid w:val="00AC1182"/>
    <w:rsid w:val="00AC7CBF"/>
    <w:rsid w:val="00AD0731"/>
    <w:rsid w:val="00AD14BE"/>
    <w:rsid w:val="00AD1B33"/>
    <w:rsid w:val="00AD5016"/>
    <w:rsid w:val="00AE0AAA"/>
    <w:rsid w:val="00AE3B67"/>
    <w:rsid w:val="00AF37A3"/>
    <w:rsid w:val="00AF3D01"/>
    <w:rsid w:val="00AF5A41"/>
    <w:rsid w:val="00B00D90"/>
    <w:rsid w:val="00B060FB"/>
    <w:rsid w:val="00B063D3"/>
    <w:rsid w:val="00B07D1C"/>
    <w:rsid w:val="00B1170A"/>
    <w:rsid w:val="00B11BAE"/>
    <w:rsid w:val="00B12E69"/>
    <w:rsid w:val="00B166C4"/>
    <w:rsid w:val="00B219F9"/>
    <w:rsid w:val="00B22AB7"/>
    <w:rsid w:val="00B25025"/>
    <w:rsid w:val="00B274E0"/>
    <w:rsid w:val="00B32CD2"/>
    <w:rsid w:val="00B35DB0"/>
    <w:rsid w:val="00B37483"/>
    <w:rsid w:val="00B41E78"/>
    <w:rsid w:val="00B424FD"/>
    <w:rsid w:val="00B47E38"/>
    <w:rsid w:val="00B54359"/>
    <w:rsid w:val="00B556AD"/>
    <w:rsid w:val="00B663E2"/>
    <w:rsid w:val="00B71D38"/>
    <w:rsid w:val="00B74C41"/>
    <w:rsid w:val="00B76590"/>
    <w:rsid w:val="00B76BF2"/>
    <w:rsid w:val="00B76C2E"/>
    <w:rsid w:val="00B8258D"/>
    <w:rsid w:val="00B82FF4"/>
    <w:rsid w:val="00B8447F"/>
    <w:rsid w:val="00B850FF"/>
    <w:rsid w:val="00B90564"/>
    <w:rsid w:val="00B9229E"/>
    <w:rsid w:val="00BA17A5"/>
    <w:rsid w:val="00BA2F69"/>
    <w:rsid w:val="00BB2A99"/>
    <w:rsid w:val="00BB4157"/>
    <w:rsid w:val="00BB48EA"/>
    <w:rsid w:val="00BB5E5E"/>
    <w:rsid w:val="00BC3592"/>
    <w:rsid w:val="00BC4B1C"/>
    <w:rsid w:val="00BC5482"/>
    <w:rsid w:val="00BC61F7"/>
    <w:rsid w:val="00BC710A"/>
    <w:rsid w:val="00BE0388"/>
    <w:rsid w:val="00BE4710"/>
    <w:rsid w:val="00BE50E0"/>
    <w:rsid w:val="00BE5F24"/>
    <w:rsid w:val="00BF0149"/>
    <w:rsid w:val="00BF0A1D"/>
    <w:rsid w:val="00BF47FF"/>
    <w:rsid w:val="00C02353"/>
    <w:rsid w:val="00C05D92"/>
    <w:rsid w:val="00C11B4E"/>
    <w:rsid w:val="00C13A1E"/>
    <w:rsid w:val="00C155BC"/>
    <w:rsid w:val="00C20640"/>
    <w:rsid w:val="00C215F0"/>
    <w:rsid w:val="00C23C55"/>
    <w:rsid w:val="00C3212C"/>
    <w:rsid w:val="00C32601"/>
    <w:rsid w:val="00C335F3"/>
    <w:rsid w:val="00C36D0C"/>
    <w:rsid w:val="00C36D98"/>
    <w:rsid w:val="00C4729C"/>
    <w:rsid w:val="00C52B16"/>
    <w:rsid w:val="00C63D15"/>
    <w:rsid w:val="00C6429D"/>
    <w:rsid w:val="00C67526"/>
    <w:rsid w:val="00C702D1"/>
    <w:rsid w:val="00C74671"/>
    <w:rsid w:val="00C76D08"/>
    <w:rsid w:val="00C77A03"/>
    <w:rsid w:val="00C80510"/>
    <w:rsid w:val="00C84E12"/>
    <w:rsid w:val="00C93C54"/>
    <w:rsid w:val="00C94064"/>
    <w:rsid w:val="00C95EF3"/>
    <w:rsid w:val="00CA3B04"/>
    <w:rsid w:val="00CA4082"/>
    <w:rsid w:val="00CA4212"/>
    <w:rsid w:val="00CA6B9E"/>
    <w:rsid w:val="00CB01F7"/>
    <w:rsid w:val="00CB4C37"/>
    <w:rsid w:val="00CD081C"/>
    <w:rsid w:val="00CD1355"/>
    <w:rsid w:val="00CD4BB3"/>
    <w:rsid w:val="00CE6DA3"/>
    <w:rsid w:val="00CF3449"/>
    <w:rsid w:val="00D000C3"/>
    <w:rsid w:val="00D00982"/>
    <w:rsid w:val="00D01E05"/>
    <w:rsid w:val="00D0414C"/>
    <w:rsid w:val="00D064EE"/>
    <w:rsid w:val="00D10BF5"/>
    <w:rsid w:val="00D16FFE"/>
    <w:rsid w:val="00D21373"/>
    <w:rsid w:val="00D239CE"/>
    <w:rsid w:val="00D23BD2"/>
    <w:rsid w:val="00D330C0"/>
    <w:rsid w:val="00D34001"/>
    <w:rsid w:val="00D4426E"/>
    <w:rsid w:val="00D44A74"/>
    <w:rsid w:val="00D46BD4"/>
    <w:rsid w:val="00D50134"/>
    <w:rsid w:val="00D51C3E"/>
    <w:rsid w:val="00D553D6"/>
    <w:rsid w:val="00D64F1F"/>
    <w:rsid w:val="00D656B2"/>
    <w:rsid w:val="00D66B99"/>
    <w:rsid w:val="00D67A6C"/>
    <w:rsid w:val="00D67FF7"/>
    <w:rsid w:val="00D705DF"/>
    <w:rsid w:val="00D72F49"/>
    <w:rsid w:val="00D750FA"/>
    <w:rsid w:val="00D752B3"/>
    <w:rsid w:val="00D83FD7"/>
    <w:rsid w:val="00D943ED"/>
    <w:rsid w:val="00DA026E"/>
    <w:rsid w:val="00DA2E75"/>
    <w:rsid w:val="00DA76BA"/>
    <w:rsid w:val="00DB4430"/>
    <w:rsid w:val="00DB515B"/>
    <w:rsid w:val="00DB56EC"/>
    <w:rsid w:val="00DC7075"/>
    <w:rsid w:val="00DD03DD"/>
    <w:rsid w:val="00DD1363"/>
    <w:rsid w:val="00DE1E0A"/>
    <w:rsid w:val="00DE390D"/>
    <w:rsid w:val="00DE5DCE"/>
    <w:rsid w:val="00E01F03"/>
    <w:rsid w:val="00E02A62"/>
    <w:rsid w:val="00E17035"/>
    <w:rsid w:val="00E23FA2"/>
    <w:rsid w:val="00E2538B"/>
    <w:rsid w:val="00E30DF9"/>
    <w:rsid w:val="00E46B1F"/>
    <w:rsid w:val="00E52488"/>
    <w:rsid w:val="00E556A2"/>
    <w:rsid w:val="00E62C14"/>
    <w:rsid w:val="00E7065A"/>
    <w:rsid w:val="00E7129A"/>
    <w:rsid w:val="00E7352A"/>
    <w:rsid w:val="00E76146"/>
    <w:rsid w:val="00E845BE"/>
    <w:rsid w:val="00E84AF5"/>
    <w:rsid w:val="00E857C2"/>
    <w:rsid w:val="00E910B2"/>
    <w:rsid w:val="00E9156A"/>
    <w:rsid w:val="00E932A7"/>
    <w:rsid w:val="00E95929"/>
    <w:rsid w:val="00EA01E6"/>
    <w:rsid w:val="00EA05C1"/>
    <w:rsid w:val="00EA7AD3"/>
    <w:rsid w:val="00EB2A86"/>
    <w:rsid w:val="00EB327A"/>
    <w:rsid w:val="00EB5AB1"/>
    <w:rsid w:val="00EC3B2F"/>
    <w:rsid w:val="00EC44E8"/>
    <w:rsid w:val="00EC65CD"/>
    <w:rsid w:val="00EC6C43"/>
    <w:rsid w:val="00ED5DE6"/>
    <w:rsid w:val="00EE0F4F"/>
    <w:rsid w:val="00EE4380"/>
    <w:rsid w:val="00EE5D14"/>
    <w:rsid w:val="00EE617C"/>
    <w:rsid w:val="00EF31A1"/>
    <w:rsid w:val="00EF3E26"/>
    <w:rsid w:val="00EF4872"/>
    <w:rsid w:val="00EF4D58"/>
    <w:rsid w:val="00F05DBD"/>
    <w:rsid w:val="00F1480B"/>
    <w:rsid w:val="00F1610E"/>
    <w:rsid w:val="00F16F8B"/>
    <w:rsid w:val="00F2032C"/>
    <w:rsid w:val="00F2357B"/>
    <w:rsid w:val="00F31538"/>
    <w:rsid w:val="00F330B7"/>
    <w:rsid w:val="00F34AAA"/>
    <w:rsid w:val="00F35AAB"/>
    <w:rsid w:val="00F3655A"/>
    <w:rsid w:val="00F40BD3"/>
    <w:rsid w:val="00F40DD6"/>
    <w:rsid w:val="00F47AA1"/>
    <w:rsid w:val="00F516FD"/>
    <w:rsid w:val="00F5661D"/>
    <w:rsid w:val="00F5681A"/>
    <w:rsid w:val="00F6091D"/>
    <w:rsid w:val="00F65A56"/>
    <w:rsid w:val="00F75D97"/>
    <w:rsid w:val="00F84607"/>
    <w:rsid w:val="00F8463F"/>
    <w:rsid w:val="00F866FF"/>
    <w:rsid w:val="00F90963"/>
    <w:rsid w:val="00F931B9"/>
    <w:rsid w:val="00F956B6"/>
    <w:rsid w:val="00F9597C"/>
    <w:rsid w:val="00FA40BE"/>
    <w:rsid w:val="00FA42B1"/>
    <w:rsid w:val="00FA44A1"/>
    <w:rsid w:val="00FA5374"/>
    <w:rsid w:val="00FB23FE"/>
    <w:rsid w:val="00FB340D"/>
    <w:rsid w:val="00FB58D0"/>
    <w:rsid w:val="00FB7FBB"/>
    <w:rsid w:val="00FC06AB"/>
    <w:rsid w:val="00FC36A7"/>
    <w:rsid w:val="00FC5C30"/>
    <w:rsid w:val="00FC7061"/>
    <w:rsid w:val="00FE1E46"/>
    <w:rsid w:val="00FE4D74"/>
    <w:rsid w:val="00FF29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0131"/>
  <w15:docId w15:val="{1E56D622-0502-6041-8673-F0FB11B5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3E2"/>
    <w:pPr>
      <w:bidi w:val="0"/>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2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C2"/>
    <w:rPr>
      <w:rFonts w:ascii="Tahoma" w:hAnsi="Tahoma" w:cs="Tahoma"/>
      <w:sz w:val="16"/>
      <w:szCs w:val="16"/>
    </w:rPr>
  </w:style>
  <w:style w:type="table" w:styleId="TableGrid">
    <w:name w:val="Table Grid"/>
    <w:basedOn w:val="TableNormal"/>
    <w:uiPriority w:val="59"/>
    <w:rsid w:val="00DA7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6BF2"/>
    <w:rPr>
      <w:color w:val="808080"/>
    </w:rPr>
  </w:style>
  <w:style w:type="paragraph" w:styleId="ListParagraph">
    <w:name w:val="List Paragraph"/>
    <w:basedOn w:val="Normal"/>
    <w:uiPriority w:val="34"/>
    <w:qFormat/>
    <w:rsid w:val="008E251B"/>
    <w:pPr>
      <w:ind w:left="720"/>
      <w:contextualSpacing/>
    </w:pPr>
  </w:style>
  <w:style w:type="paragraph" w:styleId="Header">
    <w:name w:val="header"/>
    <w:basedOn w:val="Normal"/>
    <w:link w:val="HeaderChar"/>
    <w:uiPriority w:val="99"/>
    <w:unhideWhenUsed/>
    <w:rsid w:val="003D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8DB"/>
  </w:style>
  <w:style w:type="paragraph" w:styleId="Footer">
    <w:name w:val="footer"/>
    <w:basedOn w:val="Normal"/>
    <w:link w:val="FooterChar"/>
    <w:uiPriority w:val="99"/>
    <w:unhideWhenUsed/>
    <w:rsid w:val="003D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8DB"/>
  </w:style>
  <w:style w:type="character" w:styleId="Hyperlink">
    <w:name w:val="Hyperlink"/>
    <w:basedOn w:val="DefaultParagraphFont"/>
    <w:uiPriority w:val="99"/>
    <w:unhideWhenUsed/>
    <w:rsid w:val="00A91301"/>
    <w:rPr>
      <w:color w:val="0000FF" w:themeColor="hyperlink"/>
      <w:u w:val="single"/>
    </w:rPr>
  </w:style>
  <w:style w:type="character" w:customStyle="1" w:styleId="apple-converted-space">
    <w:name w:val="apple-converted-space"/>
    <w:basedOn w:val="DefaultParagraphFont"/>
    <w:rsid w:val="00036AA5"/>
  </w:style>
  <w:style w:type="character" w:styleId="Strong">
    <w:name w:val="Strong"/>
    <w:uiPriority w:val="22"/>
    <w:qFormat/>
    <w:rsid w:val="00036AA5"/>
    <w:rPr>
      <w:b/>
      <w:bCs/>
    </w:rPr>
  </w:style>
  <w:style w:type="numbering" w:customStyle="1" w:styleId="NoList1">
    <w:name w:val="No List1"/>
    <w:next w:val="NoList"/>
    <w:uiPriority w:val="99"/>
    <w:semiHidden/>
    <w:unhideWhenUsed/>
    <w:rsid w:val="002C4A1C"/>
  </w:style>
  <w:style w:type="character" w:styleId="CommentReference">
    <w:name w:val="annotation reference"/>
    <w:basedOn w:val="DefaultParagraphFont"/>
    <w:uiPriority w:val="99"/>
    <w:semiHidden/>
    <w:unhideWhenUsed/>
    <w:rsid w:val="002C4A1C"/>
    <w:rPr>
      <w:sz w:val="16"/>
      <w:szCs w:val="16"/>
    </w:rPr>
  </w:style>
  <w:style w:type="paragraph" w:styleId="CommentText">
    <w:name w:val="annotation text"/>
    <w:basedOn w:val="Normal"/>
    <w:link w:val="CommentTextChar"/>
    <w:uiPriority w:val="99"/>
    <w:semiHidden/>
    <w:unhideWhenUsed/>
    <w:rsid w:val="002C4A1C"/>
    <w:pPr>
      <w:bidi w:val="0"/>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C4A1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C4A1C"/>
    <w:rPr>
      <w:b/>
      <w:bCs/>
    </w:rPr>
  </w:style>
  <w:style w:type="character" w:customStyle="1" w:styleId="CommentSubjectChar">
    <w:name w:val="Comment Subject Char"/>
    <w:basedOn w:val="CommentTextChar"/>
    <w:link w:val="CommentSubject"/>
    <w:uiPriority w:val="99"/>
    <w:semiHidden/>
    <w:rsid w:val="002C4A1C"/>
    <w:rPr>
      <w:rFonts w:eastAsiaTheme="minorHAnsi"/>
      <w:b/>
      <w:bCs/>
      <w:sz w:val="20"/>
      <w:szCs w:val="20"/>
    </w:rPr>
  </w:style>
  <w:style w:type="table" w:customStyle="1" w:styleId="1">
    <w:name w:val="شبكة جدول1"/>
    <w:basedOn w:val="TableNormal"/>
    <w:next w:val="TableGrid"/>
    <w:uiPriority w:val="59"/>
    <w:rsid w:val="0057661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P"/>
    <w:basedOn w:val="Normal"/>
    <w:uiPriority w:val="1"/>
    <w:qFormat/>
    <w:rsid w:val="00F84607"/>
    <w:pPr>
      <w:bidi w:val="0"/>
      <w:spacing w:after="0" w:line="240" w:lineRule="auto"/>
      <w:ind w:firstLine="360"/>
      <w:jc w:val="both"/>
    </w:pPr>
    <w:rPr>
      <w:rFonts w:asciiTheme="majorBidi" w:eastAsiaTheme="minorHAnsi" w:hAnsiTheme="majorBidi" w:cstheme="majorBidi"/>
      <w:sz w:val="20"/>
      <w:szCs w:val="20"/>
    </w:rPr>
  </w:style>
  <w:style w:type="character" w:customStyle="1" w:styleId="UnresolvedMention1">
    <w:name w:val="Unresolved Mention1"/>
    <w:basedOn w:val="DefaultParagraphFont"/>
    <w:uiPriority w:val="99"/>
    <w:semiHidden/>
    <w:unhideWhenUsed/>
    <w:rsid w:val="00526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8569">
      <w:bodyDiv w:val="1"/>
      <w:marLeft w:val="0"/>
      <w:marRight w:val="0"/>
      <w:marTop w:val="0"/>
      <w:marBottom w:val="0"/>
      <w:divBdr>
        <w:top w:val="none" w:sz="0" w:space="0" w:color="auto"/>
        <w:left w:val="none" w:sz="0" w:space="0" w:color="auto"/>
        <w:bottom w:val="none" w:sz="0" w:space="0" w:color="auto"/>
        <w:right w:val="none" w:sz="0" w:space="0" w:color="auto"/>
      </w:divBdr>
    </w:div>
    <w:div w:id="1030835245">
      <w:bodyDiv w:val="1"/>
      <w:marLeft w:val="0"/>
      <w:marRight w:val="0"/>
      <w:marTop w:val="0"/>
      <w:marBottom w:val="0"/>
      <w:divBdr>
        <w:top w:val="none" w:sz="0" w:space="0" w:color="auto"/>
        <w:left w:val="none" w:sz="0" w:space="0" w:color="auto"/>
        <w:bottom w:val="none" w:sz="0" w:space="0" w:color="auto"/>
        <w:right w:val="none" w:sz="0" w:space="0" w:color="auto"/>
      </w:divBdr>
      <w:divsChild>
        <w:div w:id="621688304">
          <w:marLeft w:val="0"/>
          <w:marRight w:val="0"/>
          <w:marTop w:val="0"/>
          <w:marBottom w:val="0"/>
          <w:divBdr>
            <w:top w:val="none" w:sz="0" w:space="0" w:color="auto"/>
            <w:left w:val="none" w:sz="0" w:space="0" w:color="auto"/>
            <w:bottom w:val="none" w:sz="0" w:space="0" w:color="auto"/>
            <w:right w:val="none" w:sz="0" w:space="0" w:color="auto"/>
          </w:divBdr>
        </w:div>
        <w:div w:id="1202934041">
          <w:marLeft w:val="0"/>
          <w:marRight w:val="0"/>
          <w:marTop w:val="0"/>
          <w:marBottom w:val="0"/>
          <w:divBdr>
            <w:top w:val="none" w:sz="0" w:space="0" w:color="auto"/>
            <w:left w:val="none" w:sz="0" w:space="0" w:color="auto"/>
            <w:bottom w:val="none" w:sz="0" w:space="0" w:color="auto"/>
            <w:right w:val="none" w:sz="0" w:space="0" w:color="auto"/>
          </w:divBdr>
        </w:div>
      </w:divsChild>
    </w:div>
    <w:div w:id="1103065795">
      <w:bodyDiv w:val="1"/>
      <w:marLeft w:val="0"/>
      <w:marRight w:val="0"/>
      <w:marTop w:val="0"/>
      <w:marBottom w:val="0"/>
      <w:divBdr>
        <w:top w:val="none" w:sz="0" w:space="0" w:color="auto"/>
        <w:left w:val="none" w:sz="0" w:space="0" w:color="auto"/>
        <w:bottom w:val="none" w:sz="0" w:space="0" w:color="auto"/>
        <w:right w:val="none" w:sz="0" w:space="0" w:color="auto"/>
      </w:divBdr>
    </w:div>
    <w:div w:id="1124619817">
      <w:bodyDiv w:val="1"/>
      <w:marLeft w:val="0"/>
      <w:marRight w:val="0"/>
      <w:marTop w:val="0"/>
      <w:marBottom w:val="0"/>
      <w:divBdr>
        <w:top w:val="none" w:sz="0" w:space="0" w:color="auto"/>
        <w:left w:val="none" w:sz="0" w:space="0" w:color="auto"/>
        <w:bottom w:val="none" w:sz="0" w:space="0" w:color="auto"/>
        <w:right w:val="none" w:sz="0" w:space="0" w:color="auto"/>
      </w:divBdr>
    </w:div>
    <w:div w:id="1200705357">
      <w:bodyDiv w:val="1"/>
      <w:marLeft w:val="0"/>
      <w:marRight w:val="0"/>
      <w:marTop w:val="0"/>
      <w:marBottom w:val="0"/>
      <w:divBdr>
        <w:top w:val="none" w:sz="0" w:space="0" w:color="auto"/>
        <w:left w:val="none" w:sz="0" w:space="0" w:color="auto"/>
        <w:bottom w:val="none" w:sz="0" w:space="0" w:color="auto"/>
        <w:right w:val="none" w:sz="0" w:space="0" w:color="auto"/>
      </w:divBdr>
    </w:div>
    <w:div w:id="1207375705">
      <w:bodyDiv w:val="1"/>
      <w:marLeft w:val="0"/>
      <w:marRight w:val="0"/>
      <w:marTop w:val="0"/>
      <w:marBottom w:val="0"/>
      <w:divBdr>
        <w:top w:val="none" w:sz="0" w:space="0" w:color="auto"/>
        <w:left w:val="none" w:sz="0" w:space="0" w:color="auto"/>
        <w:bottom w:val="none" w:sz="0" w:space="0" w:color="auto"/>
        <w:right w:val="none" w:sz="0" w:space="0" w:color="auto"/>
      </w:divBdr>
    </w:div>
    <w:div w:id="1310936592">
      <w:bodyDiv w:val="1"/>
      <w:marLeft w:val="0"/>
      <w:marRight w:val="0"/>
      <w:marTop w:val="0"/>
      <w:marBottom w:val="0"/>
      <w:divBdr>
        <w:top w:val="none" w:sz="0" w:space="0" w:color="auto"/>
        <w:left w:val="none" w:sz="0" w:space="0" w:color="auto"/>
        <w:bottom w:val="none" w:sz="0" w:space="0" w:color="auto"/>
        <w:right w:val="none" w:sz="0" w:space="0" w:color="auto"/>
      </w:divBdr>
    </w:div>
    <w:div w:id="1538005210">
      <w:bodyDiv w:val="1"/>
      <w:marLeft w:val="0"/>
      <w:marRight w:val="0"/>
      <w:marTop w:val="0"/>
      <w:marBottom w:val="0"/>
      <w:divBdr>
        <w:top w:val="none" w:sz="0" w:space="0" w:color="auto"/>
        <w:left w:val="none" w:sz="0" w:space="0" w:color="auto"/>
        <w:bottom w:val="none" w:sz="0" w:space="0" w:color="auto"/>
        <w:right w:val="none" w:sz="0" w:space="0" w:color="auto"/>
      </w:divBdr>
      <w:divsChild>
        <w:div w:id="1426685389">
          <w:marLeft w:val="0"/>
          <w:marRight w:val="0"/>
          <w:marTop w:val="0"/>
          <w:marBottom w:val="0"/>
          <w:divBdr>
            <w:top w:val="none" w:sz="0" w:space="0" w:color="auto"/>
            <w:left w:val="none" w:sz="0" w:space="0" w:color="auto"/>
            <w:bottom w:val="none" w:sz="0" w:space="0" w:color="auto"/>
            <w:right w:val="none" w:sz="0" w:space="0" w:color="auto"/>
          </w:divBdr>
        </w:div>
      </w:divsChild>
    </w:div>
    <w:div w:id="1597713189">
      <w:bodyDiv w:val="1"/>
      <w:marLeft w:val="0"/>
      <w:marRight w:val="0"/>
      <w:marTop w:val="0"/>
      <w:marBottom w:val="0"/>
      <w:divBdr>
        <w:top w:val="none" w:sz="0" w:space="0" w:color="auto"/>
        <w:left w:val="none" w:sz="0" w:space="0" w:color="auto"/>
        <w:bottom w:val="none" w:sz="0" w:space="0" w:color="auto"/>
        <w:right w:val="none" w:sz="0" w:space="0" w:color="auto"/>
      </w:divBdr>
    </w:div>
    <w:div w:id="1834908377">
      <w:bodyDiv w:val="1"/>
      <w:marLeft w:val="0"/>
      <w:marRight w:val="0"/>
      <w:marTop w:val="0"/>
      <w:marBottom w:val="0"/>
      <w:divBdr>
        <w:top w:val="none" w:sz="0" w:space="0" w:color="auto"/>
        <w:left w:val="none" w:sz="0" w:space="0" w:color="auto"/>
        <w:bottom w:val="none" w:sz="0" w:space="0" w:color="auto"/>
        <w:right w:val="none" w:sz="0" w:space="0" w:color="auto"/>
      </w:divBdr>
    </w:div>
    <w:div w:id="19663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22"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E6326B-69AE-432A-8B30-631278F32145}">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0820-2167-4019-9862-9C0B29D6AA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2078</Words>
  <Characters>11846</Characters>
  <Application>Microsoft Office Word</Application>
  <DocSecurity>0</DocSecurity>
  <Lines>98</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dc:creator>
  <cp:lastModifiedBy>haidy mashhour</cp:lastModifiedBy>
  <cp:revision>2</cp:revision>
  <cp:lastPrinted>2018-01-10T11:11:00Z</cp:lastPrinted>
  <dcterms:created xsi:type="dcterms:W3CDTF">2023-08-06T07:49:00Z</dcterms:created>
  <dcterms:modified xsi:type="dcterms:W3CDTF">2023-08-06T07:49:00Z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schwartzpfred@gmail.com@www.mendeley.com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